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辽沈银行资本充足率信息披露报告</w:t>
      </w:r>
    </w:p>
    <w:p>
      <w:pPr>
        <w:spacing w:line="578" w:lineRule="exact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（2023年上半年）</w:t>
      </w:r>
    </w:p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spacing w:line="578" w:lineRule="exact"/>
        <w:ind w:firstLine="640"/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根据《商业银行资本管理办法（试行）》</w:t>
      </w:r>
      <w:r>
        <w:rPr>
          <w:rFonts w:ascii="方正仿宋简体" w:hAnsi="方正仿宋简体" w:eastAsia="方正仿宋简体" w:cs="仿宋_GB2312"/>
          <w:sz w:val="32"/>
          <w:szCs w:val="32"/>
          <w:lang w:bidi="ar"/>
        </w:rPr>
        <w:t>（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中国银行业监督管理委员会令</w:t>
      </w:r>
      <w:r>
        <w:rPr>
          <w:rFonts w:ascii="方正仿宋简体" w:hAnsi="方正仿宋简体" w:eastAsia="方正仿宋简体" w:cs="仿宋_GB2312"/>
          <w:sz w:val="32"/>
          <w:szCs w:val="32"/>
          <w:lang w:bidi="ar"/>
        </w:rPr>
        <w:t>〔2012〕1号）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相关规定要求，本行现就2023年上半年资本充足率相关信息披露如下。</w:t>
      </w:r>
    </w:p>
    <w:p>
      <w:pPr>
        <w:spacing w:line="578" w:lineRule="exact"/>
        <w:ind w:firstLine="640" w:firstLineChars="200"/>
        <w:rPr>
          <w:rFonts w:ascii="方正黑体简体" w:hAnsi="方正黑体简体" w:eastAsia="方正黑体简体" w:cs="黑体"/>
          <w:sz w:val="32"/>
          <w:szCs w:val="32"/>
        </w:rPr>
      </w:pPr>
      <w:r>
        <w:rPr>
          <w:rFonts w:hint="eastAsia" w:ascii="方正黑体简体" w:hAnsi="方正黑体简体" w:eastAsia="方正黑体简体" w:cs="黑体"/>
          <w:sz w:val="32"/>
          <w:szCs w:val="32"/>
          <w:lang w:bidi="ar"/>
        </w:rPr>
        <w:t>一、资本充足率管理的监管要求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根据《商业银行资本管理办法(试行)》，我行适行最低要求如下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：（1）核心一级资本充足率不得低于7.5%；（2）一级资本充足率不得低于8.5%；（3）资本充足率不得低于10.5%。</w:t>
      </w:r>
    </w:p>
    <w:p>
      <w:pPr>
        <w:spacing w:line="578" w:lineRule="exact"/>
        <w:ind w:firstLine="640" w:firstLineChars="200"/>
        <w:rPr>
          <w:rFonts w:ascii="方正黑体简体" w:hAnsi="方正黑体简体" w:eastAsia="方正黑体简体" w:cs="黑体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黑体"/>
          <w:sz w:val="32"/>
          <w:szCs w:val="32"/>
          <w:lang w:bidi="ar"/>
        </w:rPr>
        <w:t>二、资本充足情况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根据中国银监会《商业银行资本管理办法（试行）》</w:t>
      </w:r>
      <w:r>
        <w:rPr>
          <w:rFonts w:ascii="方正仿宋简体" w:hAnsi="方正仿宋简体" w:eastAsia="方正仿宋简体" w:cs="仿宋_GB2312"/>
          <w:sz w:val="32"/>
          <w:szCs w:val="32"/>
          <w:lang w:bidi="ar"/>
        </w:rPr>
        <w:t>（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中国银行业监督管理委员会令</w:t>
      </w:r>
      <w:r>
        <w:rPr>
          <w:rFonts w:ascii="方正仿宋简体" w:hAnsi="方正仿宋简体" w:eastAsia="方正仿宋简体" w:cs="仿宋_GB2312"/>
          <w:sz w:val="32"/>
          <w:szCs w:val="32"/>
          <w:lang w:bidi="ar"/>
        </w:rPr>
        <w:t>〔2012〕1号）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相关规定，本行信用风险采用权重法计量资本要求，市场风险采用标准法，操作风险采用基本指标法。本行对外披露资本充足率信息采用并表口径，含辽沈银行单体和所辖三家村镇银行。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仿宋_GB2312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（一）当期资本充足情况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截至报告期末，本行合并口径（未经审计）核心一级资本净额为</w:t>
      </w:r>
      <w:r>
        <w:rPr>
          <w:rFonts w:hint="eastAsia" w:ascii="方正仿宋简体" w:hAnsi="方正仿宋简体" w:eastAsia="方正仿宋简体" w:cs="仿宋_GB2312"/>
          <w:sz w:val="32"/>
          <w:szCs w:val="32"/>
          <w:lang w:val="en-US" w:eastAsia="zh-CN" w:bidi="ar"/>
        </w:rPr>
        <w:t>155.97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亿元，一级资本净额为</w:t>
      </w:r>
      <w:r>
        <w:rPr>
          <w:rFonts w:hint="eastAsia" w:ascii="方正仿宋简体" w:hAnsi="方正仿宋简体" w:eastAsia="方正仿宋简体" w:cs="仿宋_GB2312"/>
          <w:sz w:val="32"/>
          <w:szCs w:val="32"/>
          <w:lang w:val="en-US" w:eastAsia="zh-CN" w:bidi="ar"/>
        </w:rPr>
        <w:t>155.97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亿元，资本净额为</w:t>
      </w:r>
      <w:r>
        <w:rPr>
          <w:rFonts w:hint="eastAsia" w:ascii="方正仿宋简体" w:hAnsi="方正仿宋简体" w:eastAsia="方正仿宋简体" w:cs="仿宋_GB2312"/>
          <w:sz w:val="32"/>
          <w:szCs w:val="32"/>
          <w:lang w:val="en-US" w:eastAsia="zh-CN" w:bidi="ar"/>
        </w:rPr>
        <w:t>182.01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亿元，风险加权资产为924.</w:t>
      </w:r>
      <w:r>
        <w:rPr>
          <w:rFonts w:hint="eastAsia" w:ascii="方正仿宋简体" w:hAnsi="方正仿宋简体" w:eastAsia="方正仿宋简体" w:cs="仿宋_GB2312"/>
          <w:sz w:val="32"/>
          <w:szCs w:val="32"/>
          <w:lang w:val="en-US" w:eastAsia="zh-CN" w:bidi="ar"/>
        </w:rPr>
        <w:t>23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亿元，核心一级资本充足率16.8</w:t>
      </w:r>
      <w:r>
        <w:rPr>
          <w:rFonts w:hint="eastAsia" w:ascii="方正仿宋简体" w:hAnsi="方正仿宋简体" w:eastAsia="方正仿宋简体" w:cs="仿宋_GB2312"/>
          <w:sz w:val="32"/>
          <w:szCs w:val="32"/>
          <w:lang w:val="en-US" w:eastAsia="zh-CN" w:bidi="ar"/>
        </w:rPr>
        <w:t>8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%，一级资本充足率16.8</w:t>
      </w:r>
      <w:r>
        <w:rPr>
          <w:rFonts w:hint="eastAsia" w:ascii="方正仿宋简体" w:hAnsi="方正仿宋简体" w:eastAsia="方正仿宋简体" w:cs="仿宋_GB2312"/>
          <w:sz w:val="32"/>
          <w:szCs w:val="32"/>
          <w:lang w:val="en-US" w:eastAsia="zh-CN" w:bidi="ar"/>
        </w:rPr>
        <w:t>8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%，资本充足率19.</w:t>
      </w:r>
      <w:r>
        <w:rPr>
          <w:rFonts w:hint="eastAsia" w:ascii="方正仿宋简体" w:hAnsi="方正仿宋简体" w:eastAsia="方正仿宋简体" w:cs="仿宋_GB2312"/>
          <w:sz w:val="32"/>
          <w:szCs w:val="32"/>
          <w:lang w:val="en-US" w:eastAsia="zh-CN" w:bidi="ar"/>
        </w:rPr>
        <w:t>69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%，杠杆率6.61%。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仿宋_GB2312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（二）对外投资情况</w:t>
      </w:r>
    </w:p>
    <w:p>
      <w:pPr>
        <w:spacing w:line="578" w:lineRule="exact"/>
        <w:ind w:firstLine="640" w:firstLineChars="200"/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val="en-US" w:eastAsia="zh-CN" w:bidi="ar"/>
        </w:rPr>
        <w:t>截至2023年二季度末，辽沈银行主动股权投资均为吸收合并辽阳银行时并入，主动股权投资额度825.00万元。其中对中国银联股份有限公司投资800.00万元，占其股本比例0.27%；对城市商业银行清算中心投资25.00万元，占其股本比例 0.81%。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，已在核心资本中扣除。</w:t>
      </w:r>
    </w:p>
    <w:p>
      <w:pPr>
        <w:spacing w:line="578" w:lineRule="exact"/>
        <w:ind w:firstLine="640" w:firstLineChars="2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（三）承接原两行发行资本工具情况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截至报告期末，本行</w:t>
      </w:r>
      <w:r>
        <w:rPr>
          <w:rFonts w:hint="eastAsia" w:ascii="方正仿宋简体" w:hAnsi="方正仿宋简体" w:eastAsia="方正仿宋简体" w:cs="仿宋_GB2312"/>
          <w:sz w:val="32"/>
          <w:szCs w:val="32"/>
          <w:lang w:val="en-US" w:eastAsia="zh-CN" w:bidi="ar"/>
        </w:rPr>
        <w:t>承接原辽阳银行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发行的存量二级资本工具余额15亿元，均为二级资本债，分别为：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1. 2018年11月15日，原辽阳银行在银行间市场公开发行了2018第一期二级资本债券10亿元。本期债券期限为10年（第5年末附发行人赎回权），票面利率6.00%。2022年11月16日，本行已严格按照监管规定完成利息支付及信息披露工作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2.2019年4月19日，原辽阳银行在银行间市场公开发行了2019年第一期二级资本债券5亿元，10年期固定利率品种（第5年末附发行人赎回权），票面利率5.20%。2023年4月19日，本行已严格按照监管规定完成利息支付及信息披露工作。</w:t>
      </w:r>
    </w:p>
    <w:p>
      <w:pPr>
        <w:spacing w:line="578" w:lineRule="exact"/>
        <w:ind w:firstLine="640" w:firstLineChars="200"/>
        <w:rPr>
          <w:rFonts w:ascii="方正黑体简体" w:hAnsi="方正黑体简体" w:eastAsia="方正黑体简体" w:cs="黑体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黑体"/>
          <w:sz w:val="32"/>
          <w:szCs w:val="32"/>
          <w:lang w:bidi="ar"/>
        </w:rPr>
        <w:t>三、风险管理情况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本行坚持“全面、主动、合规、审慎、发展”的风险管理理念，构建了适当的全面风险管理架构。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仿宋_GB2312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（一）全面风险管理体系概况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本行积极开展全面风险管理体系建设，制定下发了</w:t>
      </w: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《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辽沈银行股份有限公司全面风险管理办法</w:t>
      </w: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》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，明确董事会承担全面风险管理最终责任，为清晰准确识别风险，按照“9+X”模式对风险进行细化分类，明确各项风险管理职责，制定各类分类风险管理制度，初步建立了适应全面风险的管理架构及制度体系；制定《辽沈银行风险偏好陈述书》，以定量或定性方式明确总体偏好及各类风险偏好；风险管理部门及业务经营部门对所辖风险进行管控，将风险识别、评估、监测、控制等各项管理要求，渗透于各项业务、各种产品，贯穿于事前、事中、事后的整个过程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建立了有效的风险管理架构，确立董事会是风险管理的最高决策机构，承担全面风险管理的最终责任，对全面风险管理工作的有效性负责；监事会定期对各项风险管理状况进行监督；高级管理层承担全面风险管理的实施责任，落实全面风险管理政策、程序和措施；总行各部门依据“三道防线”原则，确定业务部门与风险主管部门，其中风险管理部是本行全面风险管理的总体牵头部门，统筹协调全面风险日常管理，各专业风险管理部门分别对各类具体风险承担相应管理职责，实现全面风险管控“横向到边、纵向到底”。同时，通过积极制定覆盖全部主要风险的管理制度，明确全面风险管理报告路线，搭建新产品风险评估流程并实现将风险管理关口前移，构建业务连续性管理体系等，有效落实了全面风险管理的各项规定动作，强化风险管理执行效果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本行已经全面实施新会计准则，按照预期信用损失法计提金融资产减值损失。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仿宋_GB2312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（二）信用风险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将管控信用风险作为重中之重，一是强力管控资产质量，认真落实留存贷款的资产管理，对临期贷款和逾期贷款开展清单制管理，加强对不良贷款的清收化解，全年不良贷款率和逾期贷款率较年初实现“双降”。二是严格执行监管要求的风险分类政策，资产质量得到有效夯实。三是健全贷后管理体系，细化贷后各环节管理要求，积极开展多维度风险排查，针对不同风险客户采取不同管控措施。四是推进不良贷款风险化解，成立催收小组，落实了清收责任单位，制定一户一策化解方案，制定催收工作考核。五是将表外业务纳入信贷统一管理，以表内贷款客户的流程与标准，对银行承兑汇票业务、保函业务等表外业务客户进行管理。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仿宋_GB2312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（三）市场风险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积极加强市场风险管理，一是坚持稳健的风险偏好，债券资产配置采用票息策略且以持有至到期为主，同业业务的交易对手主要为商业银行和国有资本背景，基金投资业务均为公募基金，不涉及股权投资。二是建立有效的市场风险管理体系，明确一、二、三道防线的管理边界，强化部门职责。三是落实各项管理动作，执行前中后台相分离政策，强化合规能力，加强业务数据与限额监测，加强业务审批和预警，建立重大风险预警与报告机制。</w:t>
      </w:r>
    </w:p>
    <w:p>
      <w:pPr>
        <w:spacing w:line="578" w:lineRule="exact"/>
        <w:ind w:firstLine="640" w:firstLineChars="200"/>
        <w:rPr>
          <w:rFonts w:ascii="仿宋" w:hAnsi="仿宋" w:eastAsia="仿宋" w:cs="黑体"/>
          <w:sz w:val="32"/>
          <w:szCs w:val="32"/>
          <w:highlight w:val="yellow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（四）操作风险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将操作风险管理纳入重要日程，搭建了有效的操作风险管理体系，一是定义了本行操作风险的范畴，划分了治理层、高级管理层和总、分行机构的清晰职责，形成了风险管理部牵头、多部门配合的操作风险管理架构。二是开展制度梳理、废止和回检工作，对照产品清单进行制度梳理，确保规章制度能够全面覆盖所开展业务。三是建设操作风险管理工具，制定了操作风险损失事件管理要求，明确了操作风险与控制自我评估流程并开展了首次自评估工作，全行操作风险整体管控有效。四是强化柜面业务的操作管控，上线集中授权系统以强化“机控”能力，开展运营领域专项检查与整改，加强柜面业务事后监督，进行账务科目的内外部排查等。五是强化合规内控体系建设与合规培训，建立员工行为管理架构，开展员工异常行为排查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报告期内，本行无操作风险损失事件。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仿宋_GB2312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（五）流动性风险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将解决流动性风险作为当前战略目标之一，一是建立流动性风险治理架构，明确治理层、高级管理层与总行部门在流动性风险管理中的作用、职责及报告路线。二是加强流动性风险制度建设，建立和完善流动性管理办法，制定应急预案并完成流动性应急演练。三是对流动性管理系统和头寸管理系统进行了优化和完善，对头寸系统进行功能优化和权限重新设置。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仿宋_GB2312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（六）其他风险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本行全面风险管理9+</w:t>
      </w:r>
      <w:r>
        <w:rPr>
          <w:rFonts w:ascii="方正仿宋简体" w:hAnsi="方正仿宋简体" w:eastAsia="方正仿宋简体" w:cs="仿宋_GB2312"/>
          <w:sz w:val="32"/>
          <w:szCs w:val="32"/>
          <w:lang w:bidi="ar"/>
        </w:rPr>
        <w:t>X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体系下，其他风险包括但不限于声誉风险、战略风险、集中度风险、银行账簿利率风险、信息科技风险等，均开展了相应风险管理工作。</w:t>
      </w:r>
    </w:p>
    <w:p>
      <w:pPr>
        <w:spacing w:line="578" w:lineRule="exact"/>
        <w:ind w:firstLine="640" w:firstLineChars="200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黑体"/>
          <w:sz w:val="32"/>
          <w:szCs w:val="32"/>
          <w:lang w:bidi="ar"/>
        </w:rPr>
        <w:t>四、资本充足内评情况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仿宋_GB2312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（一）本行按照年度开展资本充足内评。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本行资本充足内评对资本管理体系和架构的有效性、风险管理情况及评估、资本规划执行和执行情况、压力情形下资本承压情况进行了评估。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经过评估，本行资本充足情况良好</w:t>
      </w:r>
      <w:r>
        <w:rPr>
          <w:rFonts w:ascii="方正仿宋简体" w:hAnsi="方正仿宋简体" w:eastAsia="方正仿宋简体" w:cs="仿宋_GB2312"/>
          <w:sz w:val="32"/>
          <w:szCs w:val="32"/>
          <w:lang w:bidi="ar"/>
        </w:rPr>
        <w:t>，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在各项冲击情景下均符合监管对资本充足率的要求</w:t>
      </w:r>
      <w:r>
        <w:rPr>
          <w:rFonts w:ascii="方正仿宋简体" w:hAnsi="方正仿宋简体" w:eastAsia="方正仿宋简体" w:cs="仿宋_GB2312"/>
          <w:sz w:val="32"/>
          <w:szCs w:val="32"/>
          <w:lang w:bidi="ar"/>
        </w:rPr>
        <w:t>。</w:t>
      </w:r>
    </w:p>
    <w:p>
      <w:pPr>
        <w:spacing w:line="578" w:lineRule="exact"/>
        <w:ind w:firstLine="640" w:firstLineChars="200"/>
        <w:rPr>
          <w:rFonts w:ascii="方正楷体简体" w:hAnsi="方正楷体简体" w:eastAsia="方正楷体简体" w:cs="仿宋_GB2312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仿宋_GB2312"/>
          <w:sz w:val="32"/>
          <w:szCs w:val="32"/>
          <w:lang w:bidi="ar"/>
        </w:rPr>
        <w:t>（二）本行按年滚动测算并制定《三年资本规划》对资本充足率管理目标、资本情况及补充机制、风险加权资产情况及管控进行预测和指导。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本行各级资本充足率最低要求及风险预警线</w:t>
      </w:r>
      <w:r>
        <w:rPr>
          <w:rFonts w:hint="eastAsia" w:ascii="方正仿宋简体" w:hAnsi="方正仿宋简体" w:eastAsia="方正仿宋简体" w:cs="仿宋_GB2312"/>
          <w:sz w:val="32"/>
          <w:szCs w:val="32"/>
          <w:lang w:val="en-US" w:eastAsia="zh-CN" w:bidi="ar"/>
        </w:rPr>
        <w:t>均高于银保监局设定的各级资本充足率最低要求标准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按照规划，三年规划期内资本充足率能够满足资本管理目标。</w:t>
      </w:r>
    </w:p>
    <w:p>
      <w:pPr>
        <w:spacing w:line="578" w:lineRule="exact"/>
        <w:ind w:firstLine="640" w:firstLineChars="200"/>
        <w:rPr>
          <w:rFonts w:ascii="方正黑体简体" w:hAnsi="方正黑体简体" w:eastAsia="方正黑体简体" w:cs="黑体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黑体"/>
          <w:sz w:val="32"/>
          <w:szCs w:val="32"/>
          <w:lang w:bidi="ar"/>
        </w:rPr>
        <w:t>五、薪酬管理情况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董事会设立薪酬与考核委员会，以有效和负责地审议有关薪酬制度和政策。监事会根据职能对薪酬管理制度实施情况及相关方案的科学性、合理性进行监督。高级管理层负责组织细化实施董事会薪酬管理方面的决议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本行印发了《辽沈银行股份有限公司薪酬管理规定》《辽沈银行股份有限公司高级管理人员薪酬管理办法》《辽沈银行股份有限公司独立董事薪酬管理办法》《辽沈银行股份有限公司外部监事薪酬管理办法》等薪酬管理制度；</w:t>
      </w:r>
      <w:r>
        <w:rPr>
          <w:rFonts w:ascii="方正仿宋简体" w:hAnsi="方正仿宋简体" w:eastAsia="方正仿宋简体" w:cs="仿宋_GB2312"/>
          <w:sz w:val="32"/>
          <w:szCs w:val="32"/>
          <w:lang w:bidi="ar"/>
        </w:rPr>
        <w:t>建立了科学有效的绩效考核与分配体系，绩效考核制度及绩效薪酬分配规则公开透明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。对于从事业务经营管理的人员、对风险有重要影响的人员，以及承担风险控制与防范职责，从事业务经营和</w:t>
      </w:r>
      <w:r>
        <w:rPr>
          <w:rFonts w:ascii="方正仿宋简体" w:hAnsi="方正仿宋简体" w:eastAsia="方正仿宋简体" w:cs="仿宋_GB2312"/>
          <w:sz w:val="32"/>
          <w:szCs w:val="32"/>
          <w:lang w:bidi="ar"/>
        </w:rPr>
        <w:t>组织管理的人员</w:t>
      </w:r>
      <w:r>
        <w:rPr>
          <w:rFonts w:hint="eastAsia" w:ascii="方正仿宋简体" w:hAnsi="方正仿宋简体" w:eastAsia="方正仿宋简体" w:cs="仿宋_GB2312"/>
          <w:sz w:val="32"/>
          <w:szCs w:val="32"/>
          <w:lang w:bidi="ar"/>
        </w:rPr>
        <w:t>，按照规定执行薪酬延期支付政策。</w:t>
      </w:r>
    </w:p>
    <w:p>
      <w:pPr>
        <w:spacing w:line="578" w:lineRule="exact"/>
        <w:ind w:firstLine="640" w:firstLineChars="200"/>
        <w:rPr>
          <w:rFonts w:ascii="方正仿宋简体" w:hAnsi="方正仿宋简体" w:eastAsia="方正仿宋简体" w:cs="仿宋_GB2312"/>
          <w:sz w:val="32"/>
          <w:szCs w:val="32"/>
          <w:lang w:bidi="ar"/>
        </w:rPr>
      </w:pPr>
      <w:bookmarkStart w:id="0" w:name="_GoBack"/>
      <w:bookmarkEnd w:id="0"/>
    </w:p>
    <w:p>
      <w:pPr>
        <w:spacing w:line="578" w:lineRule="exact"/>
        <w:ind w:firstLine="640" w:firstLineChars="200"/>
        <w:rPr>
          <w:rFonts w:ascii="仿宋" w:hAnsi="仿宋" w:eastAsia="仿宋" w:cs="黑体"/>
          <w:sz w:val="32"/>
          <w:szCs w:val="32"/>
          <w:lang w:bidi="ar"/>
        </w:rPr>
      </w:pPr>
    </w:p>
    <w:p>
      <w:pPr>
        <w:spacing w:line="578" w:lineRule="exact"/>
        <w:ind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辽沈银行股份有限公司</w:t>
      </w:r>
    </w:p>
    <w:p>
      <w:pPr>
        <w:spacing w:line="578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2023年07月2</w:t>
      </w:r>
      <w:r>
        <w:rPr>
          <w:rFonts w:hint="eastAsia" w:ascii="仿宋" w:hAnsi="仿宋" w:eastAsia="仿宋" w:cs="仿宋_GB2312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lYjk3YTk1OTYzMmVhMDJmOTAzYjI2MDM3MjNiMjMifQ=="/>
  </w:docVars>
  <w:rsids>
    <w:rsidRoot w:val="00645468"/>
    <w:rsid w:val="000A3626"/>
    <w:rsid w:val="000F0247"/>
    <w:rsid w:val="001A6CB6"/>
    <w:rsid w:val="003E02BF"/>
    <w:rsid w:val="00645468"/>
    <w:rsid w:val="007F1C2D"/>
    <w:rsid w:val="008A553D"/>
    <w:rsid w:val="00A04FFE"/>
    <w:rsid w:val="00A56D25"/>
    <w:rsid w:val="00BA26B6"/>
    <w:rsid w:val="00C63220"/>
    <w:rsid w:val="00D4465A"/>
    <w:rsid w:val="00F552DD"/>
    <w:rsid w:val="00F6185E"/>
    <w:rsid w:val="05BD78B3"/>
    <w:rsid w:val="12853C91"/>
    <w:rsid w:val="19DD154A"/>
    <w:rsid w:val="2C800B1D"/>
    <w:rsid w:val="2D3C541C"/>
    <w:rsid w:val="4D2D012D"/>
    <w:rsid w:val="5998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546</Words>
  <Characters>3114</Characters>
  <Lines>25</Lines>
  <Paragraphs>7</Paragraphs>
  <TotalTime>1314</TotalTime>
  <ScaleCrop>false</ScaleCrop>
  <LinksUpToDate>false</LinksUpToDate>
  <CharactersWithSpaces>3653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2023-07-21T00:36:00Z</dcterms:created>
  <dc:creator>刘翦</dc:creator>
  <cp:lastModifiedBy> </cp:lastModifiedBy>
  <cp:lastPrinted>2023-07-24T06:36:00Z</cp:lastPrinted>
  <dcterms:modified xsi:type="dcterms:W3CDTF">2023-07-26T00:47:55Z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A6381F392C8544C2841BB6451B0B2121_13</vt:lpwstr>
  </property>
</Properties>
</file>