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KWFK6BV79TQ059GRARNQLJ87NN0O7VR9U0XBJDXXFG8TEWT68BJYC0CFY9TP88RAUMXLOLJZHKD8PNJRUFT0F8O89C0WIWBBSOORHB34DF081E01B89F197E3F5C27541022867" Type="http://schemas.microsoft.com/office/2006/relationships/officeDocumentMain" Target="docProps/core.xml"/><Relationship Id="SVWFY6BA79VA0VHGRZRNYLJZ7N8MOAYR9J0XUJD7XGI8TFCTNRBRKC0EFSUHP8RRBFMXCOLJZI7D8IXJQUFTPF8D8RN0WH5B8XODPHB374B0FE470568521CEB346C3EA5552E8C"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辽沈银行股份有限公司2024年</w:t>
      </w:r>
      <w:r>
        <w:rPr>
          <w:rFonts w:hint="default" w:ascii="Times New Roman" w:hAnsi="Times New Roman" w:eastAsia="方正小标宋简体" w:cs="Times New Roman"/>
          <w:sz w:val="44"/>
          <w:szCs w:val="44"/>
          <w:lang w:val="en-US" w:eastAsia="zh-CN"/>
        </w:rPr>
        <w:t>半年度</w:t>
      </w:r>
    </w:p>
    <w:p>
      <w:pPr>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第三支柱信息披露报告</w:t>
      </w:r>
    </w:p>
    <w:p>
      <w:pPr>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 w:cs="Times New Roman"/>
          <w:sz w:val="30"/>
          <w:szCs w:val="30"/>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sz w:val="32"/>
          <w:szCs w:val="32"/>
          <w:lang w:eastAsia="zh-CN"/>
        </w:rPr>
      </w:pPr>
      <w:r>
        <w:rPr>
          <w:rFonts w:hint="default" w:ascii="Times New Roman" w:hAnsi="Times New Roman" w:eastAsia="方正仿宋" w:cs="Times New Roman"/>
          <w:sz w:val="32"/>
          <w:szCs w:val="32"/>
          <w:lang w:eastAsia="zh-CN"/>
        </w:rPr>
        <w:t>根据《商业银行资本管理办法》的规定（以下简称“办法”），</w:t>
      </w:r>
      <w:r>
        <w:rPr>
          <w:rFonts w:hint="default" w:ascii="Times New Roman" w:hAnsi="Times New Roman" w:eastAsia="方正仿宋" w:cs="Times New Roman"/>
          <w:sz w:val="32"/>
          <w:szCs w:val="32"/>
          <w:lang w:val="en-US" w:eastAsia="zh-CN"/>
        </w:rPr>
        <w:t>我行需</w:t>
      </w:r>
      <w:r>
        <w:rPr>
          <w:rFonts w:hint="default" w:ascii="Times New Roman" w:hAnsi="Times New Roman" w:eastAsia="方正仿宋" w:cs="Times New Roman"/>
          <w:sz w:val="32"/>
          <w:szCs w:val="32"/>
          <w:lang w:eastAsia="zh-CN"/>
        </w:rPr>
        <w:t>按照办法规定的并表范围</w:t>
      </w:r>
      <w:r>
        <w:rPr>
          <w:rFonts w:hint="default" w:ascii="Times New Roman" w:hAnsi="Times New Roman" w:eastAsia="方正仿宋" w:cs="Times New Roman"/>
          <w:sz w:val="32"/>
          <w:szCs w:val="32"/>
          <w:lang w:val="en-US" w:eastAsia="zh-CN"/>
        </w:rPr>
        <w:t>定期</w:t>
      </w:r>
      <w:r>
        <w:rPr>
          <w:rFonts w:hint="default" w:ascii="Times New Roman" w:hAnsi="Times New Roman" w:eastAsia="方正仿宋" w:cs="Times New Roman"/>
          <w:sz w:val="32"/>
          <w:szCs w:val="32"/>
          <w:lang w:eastAsia="zh-CN"/>
        </w:rPr>
        <w:t>披露相关信息，</w:t>
      </w:r>
      <w:r>
        <w:rPr>
          <w:rFonts w:hint="default" w:ascii="Times New Roman" w:hAnsi="Times New Roman" w:eastAsia="方正仿宋" w:cs="Times New Roman"/>
          <w:sz w:val="32"/>
          <w:szCs w:val="32"/>
          <w:lang w:val="en-US" w:eastAsia="zh-CN"/>
        </w:rPr>
        <w:t>我行</w:t>
      </w:r>
      <w:r>
        <w:rPr>
          <w:rFonts w:hint="default" w:ascii="Times New Roman" w:hAnsi="Times New Roman" w:eastAsia="方正仿宋" w:cs="Times New Roman"/>
          <w:sz w:val="32"/>
          <w:szCs w:val="32"/>
          <w:lang w:eastAsia="zh-CN"/>
        </w:rPr>
        <w:t>并表范围包括辽宁首山村镇银行股份有限公司、辽宁灯塔村镇银行股份有限公司、营口宏诚村镇银行股份有限公司。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sz w:val="32"/>
          <w:szCs w:val="32"/>
          <w:lang w:eastAsia="zh-CN"/>
        </w:rPr>
      </w:pPr>
      <w:r>
        <w:rPr>
          <w:rFonts w:hint="eastAsia" w:eastAsia="方正仿宋" w:cs="Times New Roman"/>
          <w:sz w:val="32"/>
          <w:szCs w:val="32"/>
          <w:lang w:val="en-US" w:eastAsia="zh-CN"/>
        </w:rPr>
        <w:t>半年度</w:t>
      </w:r>
      <w:bookmarkStart w:id="0" w:name="_GoBack"/>
      <w:bookmarkEnd w:id="0"/>
      <w:r>
        <w:rPr>
          <w:rFonts w:hint="default" w:ascii="Times New Roman" w:hAnsi="Times New Roman" w:eastAsia="方正仿宋" w:cs="Times New Roman"/>
          <w:sz w:val="32"/>
          <w:szCs w:val="32"/>
          <w:lang w:eastAsia="zh-CN"/>
        </w:rPr>
        <w:t>需披露的报表如下：</w:t>
      </w:r>
    </w:p>
    <w:p>
      <w:pPr>
        <w:keepNext w:val="0"/>
        <w:keepLines w:val="0"/>
        <w:pageBreakBefore w:val="0"/>
        <w:widowControl/>
        <w:kinsoku/>
        <w:wordWrap/>
        <w:overflowPunct/>
        <w:topLinePunct w:val="0"/>
        <w:autoSpaceDE/>
        <w:autoSpaceDN/>
        <w:bidi w:val="0"/>
        <w:adjustRightInd/>
        <w:snapToGrid/>
        <w:spacing w:line="560" w:lineRule="exact"/>
        <w:ind w:firstLine="641" w:firstLineChars="200"/>
        <w:textAlignment w:val="auto"/>
        <w:rPr>
          <w:rFonts w:hint="default" w:ascii="Times New Roman" w:hAnsi="Times New Roman" w:eastAsia="方正仿宋" w:cs="Times New Roman"/>
          <w:b/>
          <w:bCs/>
          <w:sz w:val="32"/>
          <w:szCs w:val="32"/>
          <w:lang w:eastAsia="zh-CN"/>
        </w:rPr>
      </w:pPr>
      <w:r>
        <w:rPr>
          <w:rFonts w:hint="default" w:ascii="Times New Roman" w:hAnsi="Times New Roman" w:eastAsia="方正仿宋" w:cs="Times New Roman"/>
          <w:b/>
          <w:bCs/>
          <w:sz w:val="32"/>
          <w:szCs w:val="32"/>
          <w:lang w:eastAsia="zh-CN"/>
        </w:rPr>
        <w:t>（</w:t>
      </w:r>
      <w:r>
        <w:rPr>
          <w:rFonts w:hint="default" w:ascii="Times New Roman" w:hAnsi="Times New Roman" w:eastAsia="方正仿宋" w:cs="Times New Roman"/>
          <w:b/>
          <w:bCs/>
          <w:sz w:val="32"/>
          <w:szCs w:val="32"/>
          <w:lang w:val="en-US" w:eastAsia="zh-CN"/>
        </w:rPr>
        <w:t>一</w:t>
      </w:r>
      <w:r>
        <w:rPr>
          <w:rFonts w:hint="default" w:ascii="Times New Roman" w:hAnsi="Times New Roman" w:eastAsia="方正仿宋" w:cs="Times New Roman"/>
          <w:b/>
          <w:bCs/>
          <w:sz w:val="32"/>
          <w:szCs w:val="32"/>
          <w:lang w:eastAsia="zh-CN"/>
        </w:rPr>
        <w:t>）KM1监管并表关键审慎监管指标</w:t>
      </w:r>
    </w:p>
    <w:p>
      <w:pPr>
        <w:spacing w:line="560" w:lineRule="exact"/>
        <w:ind w:firstLine="640" w:firstLineChars="200"/>
        <w:jc w:val="right"/>
        <w:rPr>
          <w:rFonts w:hint="default" w:ascii="Times New Roman" w:hAnsi="Times New Roman" w:eastAsia="方正仿宋" w:cs="Times New Roman"/>
          <w:sz w:val="32"/>
          <w:szCs w:val="32"/>
          <w:lang w:eastAsia="zh-CN"/>
        </w:rPr>
      </w:pPr>
      <w:r>
        <w:rPr>
          <w:rFonts w:hint="default" w:ascii="Times New Roman" w:hAnsi="Times New Roman" w:eastAsia="方正仿宋" w:cs="Times New Roman"/>
          <w:sz w:val="32"/>
          <w:szCs w:val="32"/>
          <w:lang w:eastAsia="zh-CN"/>
        </w:rPr>
        <w:t>单位：</w:t>
      </w:r>
      <w:r>
        <w:rPr>
          <w:rFonts w:hint="default" w:ascii="Times New Roman" w:hAnsi="Times New Roman" w:eastAsia="方正仿宋" w:cs="Times New Roman"/>
          <w:sz w:val="32"/>
          <w:szCs w:val="32"/>
          <w:lang w:val="en-US" w:eastAsia="zh-CN"/>
        </w:rPr>
        <w:t>人民币</w:t>
      </w:r>
      <w:r>
        <w:rPr>
          <w:rFonts w:hint="default" w:ascii="Times New Roman" w:hAnsi="Times New Roman" w:eastAsia="方正仿宋" w:cs="Times New Roman"/>
          <w:sz w:val="32"/>
          <w:szCs w:val="32"/>
          <w:lang w:eastAsia="zh-CN"/>
        </w:rPr>
        <w:t>百万元</w:t>
      </w:r>
      <w:r>
        <w:rPr>
          <w:rFonts w:hint="default" w:ascii="Times New Roman" w:hAnsi="Times New Roman" w:eastAsia="方正仿宋" w:cs="Times New Roman"/>
          <w:sz w:val="32"/>
          <w:szCs w:val="32"/>
          <w:lang w:val="en-US" w:eastAsia="zh-CN"/>
        </w:rPr>
        <w:t>，百分比除外</w:t>
      </w:r>
    </w:p>
    <w:tbl>
      <w:tblPr>
        <w:tblStyle w:val="15"/>
        <w:tblW w:w="9719"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669"/>
        <w:gridCol w:w="2544"/>
        <w:gridCol w:w="255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4617" w:type="dxa"/>
            <w:gridSpan w:val="2"/>
            <w:vMerge w:val="restart"/>
            <w:tcBorders>
              <w:top w:val="dotted" w:color="auto" w:sz="4" w:space="0"/>
              <w:left w:val="dotted" w:color="auto" w:sz="0" w:space="0"/>
              <w:right w:val="dotted"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i w:val="0"/>
                <w:color w:val="000000"/>
                <w:kern w:val="0"/>
                <w:sz w:val="28"/>
                <w:szCs w:val="28"/>
                <w:u w:val="none"/>
                <w:lang w:val="en-US" w:eastAsia="zh-CN" w:bidi="ar"/>
              </w:rPr>
              <w:t>项目</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 w:cs="Times New Roman"/>
                <w:b/>
                <w:bCs/>
                <w:color w:val="000000" w:themeColor="text1"/>
                <w:sz w:val="24"/>
                <w:szCs w:val="24"/>
                <w:lang w:val="en-US" w:eastAsia="zh-CN"/>
                <w14:textFill>
                  <w14:solidFill>
                    <w14:schemeClr w14:val="tx1"/>
                  </w14:solidFill>
                </w14:textFill>
              </w:rPr>
              <w:t>a</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 w:cs="Times New Roman"/>
                <w:b/>
                <w:bCs/>
                <w:color w:val="000000" w:themeColor="text1"/>
                <w:sz w:val="24"/>
                <w:szCs w:val="24"/>
                <w:lang w:val="en-US" w:eastAsia="zh-CN"/>
                <w14:textFill>
                  <w14:solidFill>
                    <w14:schemeClr w14:val="tx1"/>
                  </w14:solidFill>
                </w14:textFill>
              </w:rPr>
              <w:t>b</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617" w:type="dxa"/>
            <w:gridSpan w:val="2"/>
            <w:vMerge w:val="continue"/>
            <w:tcBorders>
              <w:left w:val="dotted" w:color="auto" w:sz="0"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 w:cs="Times New Roman"/>
                <w:b/>
                <w:bCs/>
                <w:color w:val="000000" w:themeColor="text1"/>
                <w:sz w:val="24"/>
                <w:szCs w:val="24"/>
                <w:lang w:val="en-US" w:eastAsia="zh-CN"/>
                <w14:textFill>
                  <w14:solidFill>
                    <w14:schemeClr w14:val="tx1"/>
                  </w14:solidFill>
                </w14:textFill>
              </w:rPr>
              <w:t>2024年6月30日</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 w:cs="Times New Roman"/>
                <w:b/>
                <w:bCs/>
                <w:color w:val="000000" w:themeColor="text1"/>
                <w:sz w:val="24"/>
                <w:szCs w:val="24"/>
                <w:lang w:val="en-US" w:eastAsia="zh-CN"/>
                <w14:textFill>
                  <w14:solidFill>
                    <w14:schemeClr w14:val="tx1"/>
                  </w14:solidFill>
                </w14:textFill>
              </w:rPr>
              <w:t>2024年3月31日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719" w:type="dxa"/>
            <w:gridSpan w:val="4"/>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b/>
                <w:bCs/>
                <w:color w:val="000000" w:themeColor="text1"/>
                <w:sz w:val="28"/>
                <w:szCs w:val="28"/>
                <w14:textFill>
                  <w14:solidFill>
                    <w14:schemeClr w14:val="tx1"/>
                  </w14:solidFill>
                </w14:textFill>
              </w:rPr>
              <w:t>可用资本（</w:t>
            </w: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数</w:t>
            </w:r>
            <w:r>
              <w:rPr>
                <w:rFonts w:hint="default" w:ascii="Times New Roman" w:hAnsi="Times New Roman" w:eastAsia="方正仿宋" w:cs="Times New Roman"/>
                <w:b/>
                <w:bCs/>
                <w:color w:val="000000" w:themeColor="text1"/>
                <w:sz w:val="28"/>
                <w:szCs w:val="28"/>
                <w14:textFill>
                  <w14:solidFill>
                    <w14:schemeClr w14:val="tx1"/>
                  </w14:solidFill>
                </w14:textFill>
              </w:rPr>
              <w:t>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核心一级资本净额</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15851.39</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15199.16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2</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一级资本</w:t>
            </w:r>
            <w:r>
              <w:rPr>
                <w:rFonts w:hint="default" w:ascii="Times New Roman" w:hAnsi="Times New Roman" w:eastAsia="方正仿宋" w:cs="Times New Roman"/>
                <w:color w:val="000000" w:themeColor="text1"/>
                <w:sz w:val="28"/>
                <w:szCs w:val="28"/>
                <w:lang w:eastAsia="zh-CN"/>
                <w14:textFill>
                  <w14:solidFill>
                    <w14:schemeClr w14:val="tx1"/>
                  </w14:solidFill>
                </w14:textFill>
              </w:rPr>
              <w:t>净额</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15851.42</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15199.16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3</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资本</w:t>
            </w:r>
            <w:r>
              <w:rPr>
                <w:rFonts w:hint="default" w:ascii="Times New Roman" w:hAnsi="Times New Roman" w:eastAsia="方正仿宋" w:cs="Times New Roman"/>
                <w:color w:val="000000" w:themeColor="text1"/>
                <w:sz w:val="28"/>
                <w:szCs w:val="28"/>
                <w:lang w:eastAsia="zh-CN"/>
                <w14:textFill>
                  <w14:solidFill>
                    <w14:schemeClr w14:val="tx1"/>
                  </w14:solidFill>
                </w14:textFill>
              </w:rPr>
              <w:t>净额</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16884.19</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16835.36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719" w:type="dxa"/>
            <w:gridSpan w:val="4"/>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风险加权资产（数额）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4</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风险加权资产</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88790.73</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92067.86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719" w:type="dxa"/>
            <w:gridSpan w:val="4"/>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资本充足率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5</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核心一级资本充足率（%）</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17.85%</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16.51%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6</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一级资本充足率（%）</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17.85%</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16.51%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7</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资本充足率（%）</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19.02%</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18.29%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719" w:type="dxa"/>
            <w:gridSpan w:val="4"/>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其他各级资本要求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8</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储备资本要求（%）</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2.5%</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9</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逆周期资本要求（%）</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10</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全球系统重要性银行或国内系统重要性银行附加资本要求（%）</w:t>
            </w:r>
          </w:p>
        </w:tc>
        <w:tc>
          <w:tcPr>
            <w:tcW w:w="2544" w:type="dxa"/>
            <w:tcBorders>
              <w:top w:val="dotted" w:color="auto" w:sz="4" w:space="0"/>
              <w:left w:val="dotted" w:color="auto" w:sz="4" w:space="0"/>
              <w:bottom w:val="dotted" w:color="auto" w:sz="4" w:space="0"/>
              <w:right w:val="dotted" w:color="auto" w:sz="4" w:space="0"/>
            </w:tcBorders>
            <w:shd w:val="clear" w:color="auto" w:fill="BEBEBE" w:themeFill="background1" w:themeFillShade="BF"/>
            <w:vAlign w:val="center"/>
          </w:tcPr>
          <w:p>
            <w:pPr>
              <w:snapToGrid w:val="0"/>
              <w:spacing w:line="480" w:lineRule="exact"/>
              <w:jc w:val="center"/>
              <w:rPr>
                <w:rFonts w:hint="default" w:ascii="Times New Roman" w:hAnsi="Times New Roman" w:eastAsia="方正仿宋" w:cs="Times New Roman"/>
                <w:color w:val="000000" w:themeColor="text1"/>
                <w:sz w:val="28"/>
                <w:szCs w:val="28"/>
                <w:highlight w:val="none"/>
                <w:lang w:eastAsia="zh-CN"/>
                <w14:textFill>
                  <w14:solidFill>
                    <w14:schemeClr w14:val="tx1"/>
                  </w14:solidFill>
                </w14:textFill>
              </w:rPr>
            </w:pPr>
          </w:p>
        </w:tc>
        <w:tc>
          <w:tcPr>
            <w:tcW w:w="2558" w:type="dxa"/>
            <w:tcBorders>
              <w:top w:val="dotted" w:color="auto" w:sz="4" w:space="0"/>
              <w:left w:val="dotted" w:color="auto" w:sz="4" w:space="0"/>
              <w:bottom w:val="dotted" w:color="auto" w:sz="4" w:space="0"/>
              <w:right w:val="dotted" w:color="auto" w:sz="0" w:space="0"/>
            </w:tcBorders>
            <w:shd w:val="clear" w:color="auto" w:fill="BEBEBE" w:themeFill="background1" w:themeFillShade="BF"/>
            <w:vAlign w:val="center"/>
          </w:tcPr>
          <w:p>
            <w:pPr>
              <w:snapToGrid w:val="0"/>
              <w:spacing w:line="480" w:lineRule="exact"/>
              <w:jc w:val="center"/>
              <w:rPr>
                <w:rFonts w:hint="default" w:ascii="Times New Roman" w:hAnsi="Times New Roman" w:eastAsia="方正仿宋" w:cs="Times New Roman"/>
                <w:color w:val="000000" w:themeColor="text1"/>
                <w:sz w:val="28"/>
                <w:szCs w:val="28"/>
                <w:highlight w:val="none"/>
                <w:lang w:eastAsia="zh-CN"/>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11</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其他各级资本要求（%）（8+9+10）</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2.5%</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12</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满足最低资本要求后的可用核心一级资本净额占风险加权资产的比例（%）</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7.35%</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719" w:type="dxa"/>
            <w:gridSpan w:val="4"/>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杠杆率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13</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调整后表内外资产余额</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213915.56</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224764.02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14</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杠杆率（%）</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7.1%</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14a</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杠杆率a（%）</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7.1%</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719" w:type="dxa"/>
            <w:gridSpan w:val="4"/>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流动性覆盖率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15</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合格优质流动性资产</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15675.48</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17851.14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16</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现金净流出</w:t>
            </w:r>
            <w:r>
              <w:rPr>
                <w:rFonts w:hint="default" w:ascii="Times New Roman" w:hAnsi="Times New Roman" w:eastAsia="方正仿宋" w:cs="Times New Roman"/>
                <w:color w:val="000000" w:themeColor="text1"/>
                <w:sz w:val="28"/>
                <w:szCs w:val="28"/>
                <w:lang w:eastAsia="zh-CN"/>
                <w14:textFill>
                  <w14:solidFill>
                    <w14:schemeClr w14:val="tx1"/>
                  </w14:solidFill>
                </w14:textFill>
              </w:rPr>
              <w:t>量</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1513.59</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2334.99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17</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流动性覆盖率（%）</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1035.65%</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763.51%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719" w:type="dxa"/>
            <w:gridSpan w:val="4"/>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净稳定资金比例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18</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可用稳定资金</w:t>
            </w:r>
            <w:r>
              <w:rPr>
                <w:rFonts w:hint="default" w:ascii="Times New Roman" w:hAnsi="Times New Roman" w:eastAsia="方正仿宋" w:cs="Times New Roman"/>
                <w:color w:val="000000" w:themeColor="text1"/>
                <w:sz w:val="28"/>
                <w:szCs w:val="28"/>
                <w:lang w:eastAsia="zh-CN"/>
                <w14:textFill>
                  <w14:solidFill>
                    <w14:schemeClr w14:val="tx1"/>
                  </w14:solidFill>
                </w14:textFill>
              </w:rPr>
              <w:t>合计</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209054.23</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204680.76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19</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所需</w:t>
            </w:r>
            <w:r>
              <w:rPr>
                <w:rFonts w:hint="default" w:ascii="Times New Roman" w:hAnsi="Times New Roman" w:eastAsia="方正仿宋" w:cs="Times New Roman"/>
                <w:color w:val="000000" w:themeColor="text1"/>
                <w:sz w:val="28"/>
                <w:szCs w:val="28"/>
                <w14:textFill>
                  <w14:solidFill>
                    <w14:schemeClr w14:val="tx1"/>
                  </w14:solidFill>
                </w14:textFill>
              </w:rPr>
              <w:t>稳定资金</w:t>
            </w:r>
            <w:r>
              <w:rPr>
                <w:rFonts w:hint="default" w:ascii="Times New Roman" w:hAnsi="Times New Roman" w:eastAsia="方正仿宋" w:cs="Times New Roman"/>
                <w:color w:val="000000" w:themeColor="text1"/>
                <w:sz w:val="28"/>
                <w:szCs w:val="28"/>
                <w:lang w:eastAsia="zh-CN"/>
                <w14:textFill>
                  <w14:solidFill>
                    <w14:schemeClr w14:val="tx1"/>
                  </w14:solidFill>
                </w14:textFill>
              </w:rPr>
              <w:t>合计</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159722.48</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155775.47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14:textFill>
                  <w14:solidFill>
                    <w14:schemeClr w14:val="tx1"/>
                  </w14:solidFill>
                </w14:textFill>
              </w:rPr>
            </w:pPr>
            <w:r>
              <w:rPr>
                <w:rFonts w:hint="default" w:ascii="Times New Roman" w:hAnsi="Times New Roman" w:eastAsia="方正仿宋" w:cs="Times New Roman"/>
                <w:color w:val="000000" w:themeColor="text1"/>
                <w:sz w:val="28"/>
                <w:szCs w:val="28"/>
                <w14:textFill>
                  <w14:solidFill>
                    <w14:schemeClr w14:val="tx1"/>
                  </w14:solidFill>
                </w14:textFill>
              </w:rPr>
              <w:t>20</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净稳定资金比例（%）</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130.89%</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131.39%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719" w:type="dxa"/>
            <w:gridSpan w:val="4"/>
            <w:tcBorders>
              <w:top w:val="dotted" w:color="auto" w:sz="4" w:space="0"/>
              <w:left w:val="dotted" w:color="auto" w:sz="0" w:space="0"/>
              <w:bottom w:val="dotted" w:color="auto" w:sz="4" w:space="0"/>
              <w:right w:val="dotted" w:color="auto" w:sz="0" w:space="0"/>
            </w:tcBorders>
            <w:shd w:val="clear" w:color="auto" w:fill="FFFFFF"/>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流动性比例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48" w:type="dxa"/>
            <w:tcBorders>
              <w:top w:val="dotted" w:color="auto" w:sz="4" w:space="0"/>
              <w:left w:val="dotted" w:color="auto" w:sz="0"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21</w:t>
            </w:r>
          </w:p>
        </w:tc>
        <w:tc>
          <w:tcPr>
            <w:tcW w:w="3669"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流动性比例（%）</w:t>
            </w:r>
          </w:p>
        </w:tc>
        <w:tc>
          <w:tcPr>
            <w:tcW w:w="254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53.65%</w:t>
            </w:r>
          </w:p>
        </w:tc>
        <w:tc>
          <w:tcPr>
            <w:tcW w:w="2558" w:type="dxa"/>
            <w:tcBorders>
              <w:top w:val="dotted" w:color="auto" w:sz="4" w:space="0"/>
              <w:left w:val="dotted" w:color="auto" w:sz="4" w:space="0"/>
              <w:bottom w:val="dotted" w:color="auto" w:sz="4" w:space="0"/>
              <w:right w:val="dotted" w:color="auto" w:sz="0"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62.42%</w:t>
            </w:r>
          </w:p>
        </w:tc>
      </w:tr>
    </w:tbl>
    <w:p>
      <w:pPr>
        <w:rPr>
          <w:rFonts w:hint="default" w:ascii="Times New Roman" w:hAnsi="Times New Roman" w:eastAsia="方正仿宋" w:cs="Times New Roman"/>
          <w:sz w:val="30"/>
          <w:szCs w:val="30"/>
          <w:lang w:eastAsia="zh-CN"/>
        </w:rPr>
      </w:pPr>
      <w:r>
        <w:rPr>
          <w:rFonts w:hint="default" w:ascii="Times New Roman" w:hAnsi="Times New Roman" w:eastAsia="方正仿宋" w:cs="Times New Roman"/>
          <w:sz w:val="30"/>
          <w:szCs w:val="30"/>
          <w:lang w:eastAsia="zh-CN"/>
        </w:rPr>
        <w:br w:type="page"/>
      </w:r>
    </w:p>
    <w:p>
      <w:pPr>
        <w:ind w:firstLine="600" w:firstLineChars="200"/>
        <w:rPr>
          <w:rFonts w:hint="default" w:ascii="Times New Roman" w:hAnsi="Times New Roman" w:eastAsia="仿宋" w:cs="Times New Roman"/>
          <w:sz w:val="30"/>
          <w:szCs w:val="30"/>
          <w:lang w:eastAsia="zh-CN"/>
        </w:rPr>
      </w:pPr>
      <w:r>
        <w:rPr>
          <w:rFonts w:hint="default" w:ascii="Times New Roman" w:hAnsi="Times New Roman" w:eastAsia="方正楷体" w:cs="Times New Roman"/>
          <w:sz w:val="30"/>
          <w:szCs w:val="30"/>
          <w:lang w:eastAsia="zh-CN"/>
        </w:rPr>
        <w:t>（二） CC1资本构成</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right"/>
        <w:textAlignment w:val="auto"/>
        <w:rPr>
          <w:rFonts w:hint="default" w:ascii="Times New Roman" w:hAnsi="Times New Roman" w:eastAsia="方正仿宋" w:cs="Times New Roman"/>
          <w:sz w:val="30"/>
          <w:szCs w:val="30"/>
          <w:lang w:val="en-US" w:eastAsia="zh-CN"/>
        </w:rPr>
      </w:pPr>
      <w:r>
        <w:rPr>
          <w:rFonts w:hint="default" w:ascii="Times New Roman" w:hAnsi="Times New Roman" w:eastAsia="仿宋" w:cs="Times New Roman"/>
          <w:sz w:val="30"/>
          <w:szCs w:val="30"/>
          <w:lang w:eastAsia="zh-CN"/>
        </w:rPr>
        <w:t>单位：</w:t>
      </w:r>
      <w:r>
        <w:rPr>
          <w:rFonts w:hint="default" w:ascii="Times New Roman" w:hAnsi="Times New Roman" w:eastAsia="仿宋" w:cs="Times New Roman"/>
          <w:sz w:val="30"/>
          <w:szCs w:val="30"/>
          <w:lang w:val="en-US" w:eastAsia="zh-CN"/>
        </w:rPr>
        <w:t>人民币</w:t>
      </w:r>
      <w:r>
        <w:rPr>
          <w:rFonts w:hint="default" w:ascii="Times New Roman" w:hAnsi="Times New Roman" w:eastAsia="仿宋" w:cs="Times New Roman"/>
          <w:sz w:val="30"/>
          <w:szCs w:val="30"/>
          <w:lang w:eastAsia="zh-CN"/>
        </w:rPr>
        <w:t>万元</w:t>
      </w:r>
      <w:r>
        <w:rPr>
          <w:rFonts w:hint="default" w:ascii="Times New Roman" w:hAnsi="Times New Roman" w:eastAsia="方正仿宋" w:cs="Times New Roman"/>
          <w:sz w:val="30"/>
          <w:szCs w:val="30"/>
          <w:lang w:val="en-US" w:eastAsia="zh-CN"/>
        </w:rPr>
        <w:t>，百分比除外</w:t>
      </w:r>
    </w:p>
    <w:tbl>
      <w:tblPr>
        <w:tblStyle w:val="15"/>
        <w:tblW w:w="8939" w:type="dxa"/>
        <w:jc w:val="center"/>
        <w:tblLayout w:type="fixed"/>
        <w:tblCellMar>
          <w:top w:w="0" w:type="dxa"/>
          <w:left w:w="108" w:type="dxa"/>
          <w:bottom w:w="0" w:type="dxa"/>
          <w:right w:w="108" w:type="dxa"/>
        </w:tblCellMar>
      </w:tblPr>
      <w:tblGrid>
        <w:gridCol w:w="905"/>
        <w:gridCol w:w="5970"/>
        <w:gridCol w:w="2064"/>
      </w:tblGrid>
      <w:tr>
        <w:tblPrEx>
          <w:tblCellMar>
            <w:top w:w="0" w:type="dxa"/>
            <w:left w:w="108" w:type="dxa"/>
            <w:bottom w:w="0" w:type="dxa"/>
            <w:right w:w="108" w:type="dxa"/>
          </w:tblCellMar>
        </w:tblPrEx>
        <w:trPr>
          <w:trHeight w:val="526" w:hRule="atLeast"/>
          <w:jc w:val="center"/>
        </w:trPr>
        <w:tc>
          <w:tcPr>
            <w:tcW w:w="6875" w:type="dxa"/>
            <w:gridSpan w:val="2"/>
            <w:vMerge w:val="restart"/>
            <w:tcBorders>
              <w:top w:val="dotted" w:color="auto" w:sz="4" w:space="0"/>
              <w:left w:val="dotted" w:color="auto" w:sz="4" w:space="0"/>
              <w:right w:val="dotted" w:color="auto" w:sz="4" w:space="0"/>
            </w:tcBorders>
            <w:shd w:val="clear" w:color="auto" w:fill="D7D7D7" w:themeFill="background1" w:themeFillShade="D8"/>
            <w:vAlign w:val="center"/>
          </w:tcPr>
          <w:p>
            <w:pPr>
              <w:jc w:val="center"/>
              <w:rPr>
                <w:rFonts w:hint="default" w:ascii="Times New Roman" w:hAnsi="Times New Roman" w:eastAsia="仿宋_GB2312" w:cs="Times New Roman"/>
                <w:color w:val="000000"/>
                <w:sz w:val="28"/>
                <w:szCs w:val="28"/>
                <w:lang w:val="en-US" w:eastAsia="zh-CN"/>
              </w:rPr>
            </w:pPr>
            <w:r>
              <w:rPr>
                <w:rFonts w:hint="default" w:ascii="Times New Roman" w:hAnsi="Times New Roman" w:eastAsia="方正仿宋" w:cs="Times New Roman"/>
                <w:b/>
                <w:i w:val="0"/>
                <w:color w:val="000000"/>
                <w:kern w:val="0"/>
                <w:sz w:val="28"/>
                <w:szCs w:val="28"/>
                <w:u w:val="none"/>
                <w:lang w:val="en-US" w:eastAsia="zh-CN" w:bidi="ar"/>
              </w:rPr>
              <w:t>项目</w:t>
            </w:r>
          </w:p>
        </w:tc>
        <w:tc>
          <w:tcPr>
            <w:tcW w:w="2064" w:type="dxa"/>
            <w:tcBorders>
              <w:top w:val="dotted" w:color="auto" w:sz="4" w:space="0"/>
              <w:left w:val="dotted" w:color="auto" w:sz="4" w:space="0"/>
              <w:bottom w:val="dotted" w:color="auto" w:sz="4" w:space="0"/>
              <w:right w:val="dotted" w:color="auto" w:sz="4" w:space="0"/>
            </w:tcBorders>
            <w:shd w:val="clear" w:color="auto" w:fill="FFFFFF"/>
            <w:vAlign w:val="center"/>
          </w:tcPr>
          <w:p>
            <w:pPr>
              <w:jc w:val="center"/>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a</w:t>
            </w:r>
          </w:p>
        </w:tc>
      </w:tr>
      <w:tr>
        <w:tblPrEx>
          <w:tblCellMar>
            <w:top w:w="0" w:type="dxa"/>
            <w:left w:w="108" w:type="dxa"/>
            <w:bottom w:w="0" w:type="dxa"/>
            <w:right w:w="108" w:type="dxa"/>
          </w:tblCellMar>
        </w:tblPrEx>
        <w:trPr>
          <w:trHeight w:val="526" w:hRule="atLeast"/>
          <w:jc w:val="center"/>
        </w:trPr>
        <w:tc>
          <w:tcPr>
            <w:tcW w:w="6875" w:type="dxa"/>
            <w:gridSpan w:val="2"/>
            <w:vMerge w:val="continue"/>
            <w:tcBorders>
              <w:left w:val="dotted" w:color="auto" w:sz="4" w:space="0"/>
              <w:bottom w:val="dotted" w:color="auto" w:sz="4" w:space="0"/>
              <w:right w:val="dotted" w:color="auto" w:sz="4" w:space="0"/>
            </w:tcBorders>
            <w:shd w:val="clear" w:color="auto" w:fill="D7D7D7" w:themeFill="background1" w:themeFillShade="D8"/>
            <w:vAlign w:val="center"/>
          </w:tcPr>
          <w:p>
            <w:pPr>
              <w:rPr>
                <w:rFonts w:hint="default" w:ascii="Times New Roman" w:hAnsi="Times New Roman" w:eastAsia="仿宋_GB2312" w:cs="Times New Roman"/>
                <w:color w:val="000000"/>
                <w:sz w:val="28"/>
                <w:szCs w:val="28"/>
                <w:lang w:eastAsia="zh-CN"/>
              </w:rPr>
            </w:pPr>
          </w:p>
        </w:tc>
        <w:tc>
          <w:tcPr>
            <w:tcW w:w="2064" w:type="dxa"/>
            <w:tcBorders>
              <w:top w:val="dotted" w:color="auto" w:sz="4" w:space="0"/>
              <w:left w:val="dotted" w:color="auto" w:sz="4" w:space="0"/>
              <w:bottom w:val="dotted" w:color="auto" w:sz="4" w:space="0"/>
              <w:right w:val="dotted" w:color="auto" w:sz="4" w:space="0"/>
            </w:tcBorders>
            <w:shd w:val="clear" w:color="auto" w:fill="FFFFFF"/>
            <w:vAlign w:val="center"/>
          </w:tcPr>
          <w:p>
            <w:pPr>
              <w:jc w:val="center"/>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数额</w:t>
            </w:r>
          </w:p>
        </w:tc>
      </w:tr>
      <w:tr>
        <w:tblPrEx>
          <w:tblCellMar>
            <w:top w:w="0" w:type="dxa"/>
            <w:left w:w="108" w:type="dxa"/>
            <w:bottom w:w="0" w:type="dxa"/>
            <w:right w:w="108" w:type="dxa"/>
          </w:tblCellMar>
        </w:tblPrEx>
        <w:trPr>
          <w:trHeight w:val="407" w:hRule="atLeast"/>
          <w:jc w:val="center"/>
        </w:trPr>
        <w:tc>
          <w:tcPr>
            <w:tcW w:w="8939" w:type="dxa"/>
            <w:gridSpan w:val="3"/>
            <w:tcBorders>
              <w:top w:val="dotted" w:color="auto" w:sz="4" w:space="0"/>
              <w:left w:val="dotted" w:color="auto" w:sz="0" w:space="0"/>
              <w:bottom w:val="dotted" w:color="auto" w:sz="8" w:space="0"/>
              <w:right w:val="dotted" w:color="auto" w:sz="0" w:space="0"/>
            </w:tcBorders>
            <w:shd w:val="clear" w:color="auto" w:fill="FFFFFF"/>
            <w:vAlign w:val="center"/>
          </w:tcPr>
          <w:p>
            <w:pPr>
              <w:snapToGrid w:val="0"/>
              <w:spacing w:line="480" w:lineRule="exact"/>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rPr>
              <w:t>核心一级资本</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实收资本和资本公积可计入部分</w:t>
            </w:r>
          </w:p>
        </w:tc>
        <w:tc>
          <w:tcPr>
            <w:tcW w:w="206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2000000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TW"/>
                <w14:textFill>
                  <w14:solidFill>
                    <w14:schemeClr w14:val="tx1"/>
                  </w14:solidFill>
                </w14:textFill>
              </w:rPr>
              <w:t>留存收益</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2a</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盈余公积</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2b</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一般风险准备</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2c</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未分配利润</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-420797.93</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3</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累计其他综合收益</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17700.88</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4</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少数股东资本可计入部分</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22.35</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5</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扣除前的核心一级资本</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1596925.3</w:t>
            </w:r>
          </w:p>
        </w:tc>
      </w:tr>
      <w:tr>
        <w:tblPrEx>
          <w:tblCellMar>
            <w:top w:w="0" w:type="dxa"/>
            <w:left w:w="108" w:type="dxa"/>
            <w:bottom w:w="0" w:type="dxa"/>
            <w:right w:w="108" w:type="dxa"/>
          </w:tblCellMar>
        </w:tblPrEx>
        <w:trPr>
          <w:trHeight w:val="534" w:hRule="atLeast"/>
          <w:jc w:val="center"/>
        </w:trPr>
        <w:tc>
          <w:tcPr>
            <w:tcW w:w="8939" w:type="dxa"/>
            <w:gridSpan w:val="3"/>
            <w:tcBorders>
              <w:top w:val="dotted" w:color="auto" w:sz="0" w:space="0"/>
              <w:left w:val="dotted" w:color="auto" w:sz="0" w:space="0"/>
              <w:bottom w:val="dotted" w:color="auto" w:sz="8" w:space="0"/>
              <w:right w:val="dotted" w:color="auto" w:sz="0" w:space="0"/>
            </w:tcBorders>
            <w:shd w:val="clear" w:color="auto" w:fill="FFFFFF"/>
            <w:vAlign w:val="center"/>
          </w:tcPr>
          <w:p>
            <w:pPr>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核心一级资本：扣除项　</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TW"/>
                <w14:textFill>
                  <w14:solidFill>
                    <w14:schemeClr w14:val="tx1"/>
                  </w14:solidFill>
                </w14:textFill>
              </w:rPr>
              <w:t>审慎估值调整</w:t>
            </w:r>
          </w:p>
        </w:tc>
        <w:tc>
          <w:tcPr>
            <w:tcW w:w="206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7</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商誉（扣除递延税负债）</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8</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其他无形资产（土地使用权除外）（扣除递延税负债）</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11786.43</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9</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依赖未来盈利的由经营亏损引起的净递延税资产</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10</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对未按公允价值计量的项目进行套期形成的现金流储备</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11</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TW"/>
                <w14:textFill>
                  <w14:solidFill>
                    <w14:schemeClr w14:val="tx1"/>
                  </w14:solidFill>
                </w14:textFill>
              </w:rPr>
              <w:t>损失准备缺口</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12</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TW"/>
                <w14:textFill>
                  <w14:solidFill>
                    <w14:schemeClr w14:val="tx1"/>
                  </w14:solidFill>
                </w14:textFill>
              </w:rPr>
              <w:t>资产证券化销售利得</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13</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自身信用风险变化导致其负债公允价值变化带来的未实现损益</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14</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确定受益类的养老金资产净额（扣除递延税负债）</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15</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直接或间接持有本银行的股票</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16</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银行间或银行与其他金融机构间通过协议相互持有的核心一级资本</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17</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对未并表金融机构小额少数资本投资中的核心一级资本中应扣除金额</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eastAsia" w:eastAsia="方正仿宋" w:cs="Times New Roman"/>
                <w:color w:val="000000" w:themeColor="text1"/>
                <w:sz w:val="28"/>
                <w:szCs w:val="28"/>
                <w:lang w:val="en-US" w:eastAsia="zh-CN"/>
                <w14:textFill>
                  <w14:solidFill>
                    <w14:schemeClr w14:val="tx1"/>
                  </w14:solidFill>
                </w14:textFill>
              </w:rPr>
              <w:t>0</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18</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对未并表金融机构大额少数资本投资中的核心一级资本中应扣除金额</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19</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其他依赖于银行未来盈利的净递延税资产中应扣除金额</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1609"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20</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对未并表金融机构大额少数资本投资中的核心一级资本和其他依赖于银行未来盈利的净递延税资产的未扣除部分超过核心一级资本15%的应扣除金额</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21</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 xml:space="preserve">    其中：应在对金融机构大额少数资本投资中扣除的金额</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22</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 xml:space="preserve">    其中：应在其他依赖于银行未来盈利的净递延税资产中扣除的金额</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58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23</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其他应在核心一级资本中扣除的项目合计</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24</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应从其他一级资本和二级资本中扣除的未扣缺口</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25</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核心一级资本扣除项总和</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11786.43</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26</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TW"/>
                <w14:textFill>
                  <w14:solidFill>
                    <w14:schemeClr w14:val="tx1"/>
                  </w14:solidFill>
                </w14:textFill>
              </w:rPr>
              <w:t>核心一级资本净额</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1585138.87</w:t>
            </w:r>
          </w:p>
        </w:tc>
      </w:tr>
      <w:tr>
        <w:tblPrEx>
          <w:tblCellMar>
            <w:top w:w="0" w:type="dxa"/>
            <w:left w:w="108" w:type="dxa"/>
            <w:bottom w:w="0" w:type="dxa"/>
            <w:right w:w="108" w:type="dxa"/>
          </w:tblCellMar>
        </w:tblPrEx>
        <w:trPr>
          <w:trHeight w:val="534" w:hRule="atLeast"/>
          <w:jc w:val="center"/>
        </w:trPr>
        <w:tc>
          <w:tcPr>
            <w:tcW w:w="8939" w:type="dxa"/>
            <w:gridSpan w:val="3"/>
            <w:tcBorders>
              <w:top w:val="dotted" w:color="auto" w:sz="0" w:space="0"/>
              <w:left w:val="dotted" w:color="auto" w:sz="0" w:space="0"/>
              <w:bottom w:val="dotted" w:color="auto" w:sz="8" w:space="0"/>
              <w:right w:val="dotted" w:color="auto" w:sz="4" w:space="0"/>
            </w:tcBorders>
            <w:shd w:val="clear" w:color="auto" w:fill="FFFFFF"/>
            <w:vAlign w:val="center"/>
          </w:tcPr>
          <w:p>
            <w:pPr>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TW"/>
              </w:rPr>
              <w:t>其他一级资本</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27</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其他一级资本工具及其溢价</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28</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 xml:space="preserve">    其中：权益部分</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29</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 xml:space="preserve">    其中：负债部分</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30</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少数股东资本可计入部分</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2.98</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31</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扣除前的其他一级资本</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2.98</w:t>
            </w:r>
          </w:p>
        </w:tc>
      </w:tr>
      <w:tr>
        <w:tblPrEx>
          <w:tblCellMar>
            <w:top w:w="0" w:type="dxa"/>
            <w:left w:w="108" w:type="dxa"/>
            <w:bottom w:w="0" w:type="dxa"/>
            <w:right w:w="108" w:type="dxa"/>
          </w:tblCellMar>
        </w:tblPrEx>
        <w:trPr>
          <w:trHeight w:val="534" w:hRule="atLeast"/>
          <w:jc w:val="center"/>
        </w:trPr>
        <w:tc>
          <w:tcPr>
            <w:tcW w:w="8939" w:type="dxa"/>
            <w:gridSpan w:val="3"/>
            <w:tcBorders>
              <w:top w:val="dotted" w:color="auto" w:sz="0" w:space="0"/>
              <w:left w:val="dotted" w:color="auto" w:sz="0" w:space="0"/>
              <w:bottom w:val="dotted" w:color="auto" w:sz="8" w:space="0"/>
              <w:right w:val="dotted" w:color="auto" w:sz="0" w:space="0"/>
            </w:tcBorders>
            <w:shd w:val="clear" w:color="auto" w:fill="FFFFFF"/>
            <w:vAlign w:val="center"/>
          </w:tcPr>
          <w:p>
            <w:pPr>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其他一级资本:扣除项</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32</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直接或间接持有的本银行其他一级资本</w:t>
            </w:r>
          </w:p>
        </w:tc>
        <w:tc>
          <w:tcPr>
            <w:tcW w:w="206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33</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银行间或银行与其他金融机构间通过协议相互持有的其他一级资本</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34</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对未并表金融机构小额少数资本投资中的其他一级资本中应扣除金额</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35</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对未并表金融机构大额少数资本投资中的其他一级资本中应扣除金额</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58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36</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其他应在其他一级资本中扣除的项目合计</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37</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应从二级资本中扣除的未扣缺口</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38</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其他一级资本扣除项总和</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39</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TW"/>
                <w14:textFill>
                  <w14:solidFill>
                    <w14:schemeClr w14:val="tx1"/>
                  </w14:solidFill>
                </w14:textFill>
              </w:rPr>
              <w:t>其他一级资本净额</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TW"/>
                <w14:textFill>
                  <w14:solidFill>
                    <w14:schemeClr w14:val="tx1"/>
                  </w14:solidFill>
                </w14:textFill>
              </w:rPr>
              <w:t>2.98</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40</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TW"/>
                <w14:textFill>
                  <w14:solidFill>
                    <w14:schemeClr w14:val="tx1"/>
                  </w14:solidFill>
                </w14:textFill>
              </w:rPr>
              <w:t>一级资本净额</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TW"/>
                <w14:textFill>
                  <w14:solidFill>
                    <w14:schemeClr w14:val="tx1"/>
                  </w14:solidFill>
                </w14:textFill>
              </w:rPr>
              <w:t>1585141.85</w:t>
            </w:r>
          </w:p>
        </w:tc>
      </w:tr>
      <w:tr>
        <w:tblPrEx>
          <w:tblCellMar>
            <w:top w:w="0" w:type="dxa"/>
            <w:left w:w="108" w:type="dxa"/>
            <w:bottom w:w="0" w:type="dxa"/>
            <w:right w:w="108" w:type="dxa"/>
          </w:tblCellMar>
        </w:tblPrEx>
        <w:trPr>
          <w:trHeight w:val="534" w:hRule="atLeast"/>
          <w:jc w:val="center"/>
        </w:trPr>
        <w:tc>
          <w:tcPr>
            <w:tcW w:w="8939" w:type="dxa"/>
            <w:gridSpan w:val="3"/>
            <w:tcBorders>
              <w:top w:val="dotted" w:color="auto" w:sz="0" w:space="0"/>
              <w:left w:val="dotted" w:color="auto" w:sz="0" w:space="0"/>
              <w:bottom w:val="dotted" w:color="auto" w:sz="8" w:space="0"/>
              <w:right w:val="dotted" w:color="auto" w:sz="4" w:space="0"/>
            </w:tcBorders>
            <w:shd w:val="clear" w:color="auto" w:fill="FFFFFF"/>
            <w:vAlign w:val="center"/>
          </w:tcPr>
          <w:p>
            <w:pPr>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二级资本</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41</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二级资本工具及其溢价</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42</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少数股东资本可计入部分</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5.96</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43</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超额损失准备可计入部分</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103271.48</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44</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扣除前的二级资本</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103277.44</w:t>
            </w:r>
          </w:p>
        </w:tc>
      </w:tr>
      <w:tr>
        <w:tblPrEx>
          <w:tblCellMar>
            <w:top w:w="0" w:type="dxa"/>
            <w:left w:w="108" w:type="dxa"/>
            <w:bottom w:w="0" w:type="dxa"/>
            <w:right w:w="108" w:type="dxa"/>
          </w:tblCellMar>
        </w:tblPrEx>
        <w:trPr>
          <w:trHeight w:val="534" w:hRule="atLeast"/>
          <w:jc w:val="center"/>
        </w:trPr>
        <w:tc>
          <w:tcPr>
            <w:tcW w:w="8939" w:type="dxa"/>
            <w:gridSpan w:val="3"/>
            <w:tcBorders>
              <w:top w:val="dotted" w:color="auto" w:sz="0" w:space="0"/>
              <w:left w:val="dotted" w:color="auto" w:sz="0" w:space="0"/>
              <w:bottom w:val="dotted" w:color="auto" w:sz="8" w:space="0"/>
              <w:right w:val="dotted" w:color="auto" w:sz="0" w:space="0"/>
            </w:tcBorders>
            <w:shd w:val="clear" w:color="auto" w:fill="FFFFFF"/>
            <w:vAlign w:val="center"/>
          </w:tcPr>
          <w:p>
            <w:pPr>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二级资本：扣除项</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45</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直接或间接持有的本银行的二级资本</w:t>
            </w:r>
          </w:p>
        </w:tc>
        <w:tc>
          <w:tcPr>
            <w:tcW w:w="206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46</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银行间或银行与其他金融机构间通过协议相互持有的其他一级资本</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47</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对未并表金融机构小额少数资本投资中的二级资本中应扣除金额</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48</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对未并表金融机构大额少数资本投资中的二级资本</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49</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其他应在二级资本中扣除的项目合计</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50</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二级资本扣除项总和</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51</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TW"/>
                <w14:textFill>
                  <w14:solidFill>
                    <w14:schemeClr w14:val="tx1"/>
                  </w14:solidFill>
                </w14:textFill>
              </w:rPr>
              <w:t>二级资本净额</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103277.44</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52</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总资本净额</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1688419.29</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53</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TW"/>
                <w14:textFill>
                  <w14:solidFill>
                    <w14:schemeClr w14:val="tx1"/>
                  </w14:solidFill>
                </w14:textFill>
              </w:rPr>
              <w:t>风险加权资产</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8879073.08</w:t>
            </w:r>
          </w:p>
        </w:tc>
      </w:tr>
      <w:tr>
        <w:tblPrEx>
          <w:tblCellMar>
            <w:top w:w="0" w:type="dxa"/>
            <w:left w:w="108" w:type="dxa"/>
            <w:bottom w:w="0" w:type="dxa"/>
            <w:right w:w="108" w:type="dxa"/>
          </w:tblCellMar>
        </w:tblPrEx>
        <w:trPr>
          <w:trHeight w:val="534" w:hRule="atLeast"/>
          <w:jc w:val="center"/>
        </w:trPr>
        <w:tc>
          <w:tcPr>
            <w:tcW w:w="8939" w:type="dxa"/>
            <w:gridSpan w:val="3"/>
            <w:tcBorders>
              <w:top w:val="dotted" w:color="auto" w:sz="0" w:space="0"/>
              <w:left w:val="dotted" w:color="auto" w:sz="0" w:space="0"/>
              <w:bottom w:val="dotted" w:color="auto" w:sz="8" w:space="0"/>
              <w:right w:val="dotted" w:color="auto" w:sz="4" w:space="0"/>
            </w:tcBorders>
            <w:shd w:val="clear" w:color="auto" w:fill="FFFFFF"/>
            <w:vAlign w:val="center"/>
          </w:tcPr>
          <w:p>
            <w:pPr>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资本充足率和其他各级资本要求</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54</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TW"/>
                <w14:textFill>
                  <w14:solidFill>
                    <w14:schemeClr w14:val="tx1"/>
                  </w14:solidFill>
                </w14:textFill>
              </w:rPr>
              <w:t>核心一级资本充足率</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17.85%</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55</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TW"/>
                <w14:textFill>
                  <w14:solidFill>
                    <w14:schemeClr w14:val="tx1"/>
                  </w14:solidFill>
                </w14:textFill>
              </w:rPr>
              <w:t>一级资本充足率</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17.85%</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56</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TW"/>
                <w14:textFill>
                  <w14:solidFill>
                    <w14:schemeClr w14:val="tx1"/>
                  </w14:solidFill>
                </w14:textFill>
              </w:rPr>
              <w:t>资本充足率</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19.02%</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57</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其他各级资本要求（%）</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58</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 xml:space="preserve">    其中：储备资本要求</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2.50%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59</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 xml:space="preserve">    其中：逆周期资本要求</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60</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 xml:space="preserve">    其中：全球系统重要性银行或国内系统重要性银行附加资本要求</w:t>
            </w:r>
          </w:p>
        </w:tc>
        <w:tc>
          <w:tcPr>
            <w:tcW w:w="2064" w:type="dxa"/>
            <w:tcBorders>
              <w:top w:val="dotted" w:color="auto" w:sz="0" w:space="0"/>
              <w:left w:val="dotted" w:color="auto" w:sz="4" w:space="0"/>
              <w:bottom w:val="dotted" w:color="auto" w:sz="4" w:space="0"/>
              <w:right w:val="dotted" w:color="auto" w:sz="4" w:space="0"/>
            </w:tcBorders>
            <w:shd w:val="clear" w:color="auto" w:fill="D7D7D7" w:themeFill="background1" w:themeFillShade="D8"/>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61</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b/>
                <w:bCs/>
                <w:color w:val="000000" w:themeColor="text1"/>
                <w:sz w:val="28"/>
                <w:szCs w:val="28"/>
                <w:lang w:eastAsia="zh-CN"/>
                <w14:textFill>
                  <w14:solidFill>
                    <w14:schemeClr w14:val="tx1"/>
                  </w14:solidFill>
                </w14:textFill>
              </w:rPr>
              <w:t>满足最低资本要求后的可用核心一级资本净额占风险加权资产的比例（%）</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7.35%</w:t>
            </w:r>
          </w:p>
        </w:tc>
      </w:tr>
      <w:tr>
        <w:tblPrEx>
          <w:tblCellMar>
            <w:top w:w="0" w:type="dxa"/>
            <w:left w:w="108" w:type="dxa"/>
            <w:bottom w:w="0" w:type="dxa"/>
            <w:right w:w="108" w:type="dxa"/>
          </w:tblCellMar>
        </w:tblPrEx>
        <w:trPr>
          <w:trHeight w:val="534" w:hRule="atLeast"/>
          <w:jc w:val="center"/>
        </w:trPr>
        <w:tc>
          <w:tcPr>
            <w:tcW w:w="8939" w:type="dxa"/>
            <w:gridSpan w:val="3"/>
            <w:tcBorders>
              <w:top w:val="dotted" w:color="auto" w:sz="8" w:space="0"/>
              <w:left w:val="dotted" w:color="auto" w:sz="0" w:space="0"/>
              <w:bottom w:val="dotted" w:color="auto" w:sz="8" w:space="0"/>
              <w:right w:val="dotted" w:color="auto" w:sz="0" w:space="0"/>
            </w:tcBorders>
            <w:shd w:val="clear" w:color="auto" w:fill="FFFFFF"/>
            <w:vAlign w:val="center"/>
          </w:tcPr>
          <w:p>
            <w:pPr>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我国最低监管资本要求</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62</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TW"/>
                <w14:textFill>
                  <w14:solidFill>
                    <w14:schemeClr w14:val="tx1"/>
                  </w14:solidFill>
                </w14:textFill>
              </w:rPr>
              <w:t>核心一级资本充足率</w:t>
            </w:r>
          </w:p>
        </w:tc>
        <w:tc>
          <w:tcPr>
            <w:tcW w:w="206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5.00%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63</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TW"/>
                <w14:textFill>
                  <w14:solidFill>
                    <w14:schemeClr w14:val="tx1"/>
                  </w14:solidFill>
                </w14:textFill>
              </w:rPr>
              <w:t>一级资本充足率</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6.00%</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64</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TW"/>
                <w14:textFill>
                  <w14:solidFill>
                    <w14:schemeClr w14:val="tx1"/>
                  </w14:solidFill>
                </w14:textFill>
              </w:rPr>
              <w:t>资本充足率</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8.00%</w:t>
            </w:r>
          </w:p>
        </w:tc>
      </w:tr>
      <w:tr>
        <w:tblPrEx>
          <w:tblCellMar>
            <w:top w:w="0" w:type="dxa"/>
            <w:left w:w="108" w:type="dxa"/>
            <w:bottom w:w="0" w:type="dxa"/>
            <w:right w:w="108" w:type="dxa"/>
          </w:tblCellMar>
        </w:tblPrEx>
        <w:trPr>
          <w:trHeight w:val="534" w:hRule="atLeast"/>
          <w:jc w:val="center"/>
        </w:trPr>
        <w:tc>
          <w:tcPr>
            <w:tcW w:w="8939" w:type="dxa"/>
            <w:gridSpan w:val="3"/>
            <w:tcBorders>
              <w:top w:val="dotted" w:color="auto" w:sz="8" w:space="0"/>
              <w:left w:val="dotted" w:color="auto" w:sz="0" w:space="0"/>
              <w:bottom w:val="dotted" w:color="auto" w:sz="8" w:space="0"/>
              <w:right w:val="dotted" w:color="auto" w:sz="0" w:space="0"/>
            </w:tcBorders>
            <w:shd w:val="clear" w:color="auto" w:fill="FFFFFF"/>
            <w:vAlign w:val="center"/>
          </w:tcPr>
          <w:p>
            <w:pPr>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门槛扣除项中未扣除部分</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65</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对未并表金融机构的小额少数资本投资中未扣除部分</w:t>
            </w:r>
          </w:p>
        </w:tc>
        <w:tc>
          <w:tcPr>
            <w:tcW w:w="206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91735.58</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66</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对未并表金融机构的大额少数资本投资中未扣除部分</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813"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67</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其他依赖于银行未来盈利的净递延税资产（扣除递延税负债）</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0</w:t>
            </w:r>
          </w:p>
        </w:tc>
      </w:tr>
      <w:tr>
        <w:tblPrEx>
          <w:tblCellMar>
            <w:top w:w="0" w:type="dxa"/>
            <w:left w:w="108" w:type="dxa"/>
            <w:bottom w:w="0" w:type="dxa"/>
            <w:right w:w="108" w:type="dxa"/>
          </w:tblCellMar>
        </w:tblPrEx>
        <w:trPr>
          <w:trHeight w:val="534" w:hRule="atLeast"/>
          <w:jc w:val="center"/>
        </w:trPr>
        <w:tc>
          <w:tcPr>
            <w:tcW w:w="8939" w:type="dxa"/>
            <w:gridSpan w:val="3"/>
            <w:tcBorders>
              <w:top w:val="dotted" w:color="auto" w:sz="8" w:space="0"/>
              <w:left w:val="dotted" w:color="auto" w:sz="0" w:space="0"/>
              <w:bottom w:val="dotted" w:color="auto" w:sz="8" w:space="0"/>
              <w:right w:val="dotted" w:color="auto" w:sz="0" w:space="0"/>
            </w:tcBorders>
            <w:shd w:val="clear" w:color="auto" w:fill="FFFFFF"/>
            <w:vAlign w:val="center"/>
          </w:tcPr>
          <w:p>
            <w:pPr>
              <w:rPr>
                <w:rFonts w:hint="default" w:ascii="Times New Roman" w:hAnsi="Times New Roman" w:eastAsia="仿宋_GB2312" w:cs="Times New Roman"/>
                <w:b/>
                <w:bCs/>
                <w:color w:val="000000"/>
                <w:sz w:val="28"/>
                <w:szCs w:val="28"/>
                <w:lang w:eastAsia="zh-CN"/>
              </w:rPr>
            </w:pPr>
            <w:r>
              <w:rPr>
                <w:rFonts w:hint="default" w:ascii="Times New Roman" w:hAnsi="Times New Roman" w:eastAsia="仿宋_GB2312" w:cs="Times New Roman"/>
                <w:b/>
                <w:bCs/>
                <w:color w:val="000000"/>
                <w:sz w:val="28"/>
                <w:szCs w:val="28"/>
                <w:lang w:eastAsia="zh-CN"/>
              </w:rPr>
              <w:t>可计入二级资本的超额损失准备的限额</w:t>
            </w:r>
          </w:p>
        </w:tc>
      </w:tr>
      <w:tr>
        <w:tblPrEx>
          <w:tblCellMar>
            <w:top w:w="0" w:type="dxa"/>
            <w:left w:w="108" w:type="dxa"/>
            <w:bottom w:w="0" w:type="dxa"/>
            <w:right w:w="108" w:type="dxa"/>
          </w:tblCellMar>
        </w:tblPrEx>
        <w:trPr>
          <w:trHeight w:val="415"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68</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权重法下，实际计提的超额损失准备金额</w:t>
            </w:r>
          </w:p>
        </w:tc>
        <w:tc>
          <w:tcPr>
            <w:tcW w:w="2064" w:type="dxa"/>
            <w:tcBorders>
              <w:top w:val="dotted" w:color="auto" w:sz="4"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103271.48</w:t>
            </w:r>
          </w:p>
        </w:tc>
      </w:tr>
      <w:tr>
        <w:tblPrEx>
          <w:tblCellMar>
            <w:top w:w="0" w:type="dxa"/>
            <w:left w:w="108" w:type="dxa"/>
            <w:bottom w:w="0" w:type="dxa"/>
            <w:right w:w="108" w:type="dxa"/>
          </w:tblCellMar>
        </w:tblPrEx>
        <w:trPr>
          <w:trHeight w:val="661" w:hRule="atLeast"/>
          <w:jc w:val="center"/>
        </w:trPr>
        <w:tc>
          <w:tcPr>
            <w:tcW w:w="905"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center"/>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69</w:t>
            </w:r>
          </w:p>
        </w:tc>
        <w:tc>
          <w:tcPr>
            <w:tcW w:w="5970" w:type="dxa"/>
            <w:tcBorders>
              <w:top w:val="dotted" w:color="auto" w:sz="0" w:space="0"/>
              <w:left w:val="dotted" w:color="auto" w:sz="0" w:space="0"/>
              <w:bottom w:val="dotted" w:color="auto" w:sz="8" w:space="0"/>
              <w:right w:val="dotted" w:color="auto" w:sz="8" w:space="0"/>
            </w:tcBorders>
            <w:shd w:val="clear" w:color="auto" w:fill="FFFFFF"/>
            <w:vAlign w:val="center"/>
          </w:tcPr>
          <w:p>
            <w:pPr>
              <w:snapToGrid w:val="0"/>
              <w:spacing w:line="480" w:lineRule="exact"/>
              <w:jc w:val="lef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权重法下，可计入二级资本超额损失准备的数额</w:t>
            </w:r>
          </w:p>
        </w:tc>
        <w:tc>
          <w:tcPr>
            <w:tcW w:w="2064" w:type="dxa"/>
            <w:tcBorders>
              <w:top w:val="dotted" w:color="auto" w:sz="0" w:space="0"/>
              <w:left w:val="dotted" w:color="auto" w:sz="4" w:space="0"/>
              <w:bottom w:val="dotted" w:color="auto" w:sz="4" w:space="0"/>
              <w:right w:val="dotted" w:color="auto" w:sz="4" w:space="0"/>
            </w:tcBorders>
            <w:shd w:val="clear" w:color="auto" w:fill="FFFFFF"/>
            <w:vAlign w:val="center"/>
          </w:tcPr>
          <w:p>
            <w:pPr>
              <w:snapToGrid w:val="0"/>
              <w:spacing w:line="480" w:lineRule="exact"/>
              <w:jc w:val="right"/>
              <w:rPr>
                <w:rFonts w:hint="default" w:ascii="Times New Roman" w:hAnsi="Times New Roman" w:eastAsia="方正仿宋" w:cs="Times New Roman"/>
                <w:color w:val="000000" w:themeColor="text1"/>
                <w:sz w:val="28"/>
                <w:szCs w:val="28"/>
                <w:lang w:eastAsia="zh-CN"/>
                <w14:textFill>
                  <w14:solidFill>
                    <w14:schemeClr w14:val="tx1"/>
                  </w14:solidFill>
                </w14:textFill>
              </w:rPr>
            </w:pPr>
            <w:r>
              <w:rPr>
                <w:rFonts w:hint="default" w:ascii="Times New Roman" w:hAnsi="Times New Roman" w:eastAsia="方正仿宋" w:cs="Times New Roman"/>
                <w:color w:val="000000" w:themeColor="text1"/>
                <w:sz w:val="28"/>
                <w:szCs w:val="28"/>
                <w:lang w:eastAsia="zh-CN"/>
                <w14:textFill>
                  <w14:solidFill>
                    <w14:schemeClr w14:val="tx1"/>
                  </w14:solidFill>
                </w14:textFill>
              </w:rPr>
              <w:t>103271.48</w:t>
            </w:r>
          </w:p>
        </w:tc>
      </w:tr>
    </w:tbl>
    <w:p>
      <w:pPr>
        <w:spacing w:line="560" w:lineRule="exact"/>
        <w:ind w:firstLine="600" w:firstLineChars="200"/>
        <w:jc w:val="right"/>
        <w:rPr>
          <w:rFonts w:hint="default" w:ascii="Times New Roman" w:hAnsi="Times New Roman" w:eastAsia="方正仿宋" w:cs="Times New Roman"/>
          <w:sz w:val="30"/>
          <w:szCs w:val="30"/>
          <w:lang w:val="en-US" w:eastAsia="zh-CN"/>
        </w:rPr>
      </w:pPr>
    </w:p>
    <w:p>
      <w:pPr>
        <w:rPr>
          <w:rFonts w:hint="default" w:ascii="Times New Roman" w:hAnsi="Times New Roman" w:eastAsia="仿宋" w:cs="Times New Roman"/>
          <w:sz w:val="30"/>
          <w:szCs w:val="30"/>
          <w:lang w:eastAsia="zh-CN"/>
        </w:rPr>
      </w:pPr>
    </w:p>
    <w:sectPr>
      <w:footerReference r:id="rId5" w:type="default"/>
      <w:pgSz w:w="11906" w:h="16838"/>
      <w:pgMar w:top="2098" w:right="1474" w:bottom="1984" w:left="1587"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
    <w:panose1 w:val="02000500000000000000"/>
    <w:charset w:val="86"/>
    <w:family w:val="auto"/>
    <w:pitch w:val="default"/>
    <w:sig w:usb0="A00002BF" w:usb1="584F6CFA" w:usb2="00000012" w:usb3="00000000" w:csb0="00040001" w:csb1="00000000"/>
  </w:font>
  <w:font w:name="方正楷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8B"/>
    <w:rsid w:val="00037D8B"/>
    <w:rsid w:val="000F2299"/>
    <w:rsid w:val="000F76C8"/>
    <w:rsid w:val="001157EB"/>
    <w:rsid w:val="0012549D"/>
    <w:rsid w:val="00345F6F"/>
    <w:rsid w:val="00423E3A"/>
    <w:rsid w:val="00447133"/>
    <w:rsid w:val="00493FE4"/>
    <w:rsid w:val="004A4D5A"/>
    <w:rsid w:val="004D13D1"/>
    <w:rsid w:val="00562A6E"/>
    <w:rsid w:val="005D43E2"/>
    <w:rsid w:val="005F2015"/>
    <w:rsid w:val="0073094F"/>
    <w:rsid w:val="00794F18"/>
    <w:rsid w:val="00886743"/>
    <w:rsid w:val="008B22F2"/>
    <w:rsid w:val="008D4BF8"/>
    <w:rsid w:val="008D4D58"/>
    <w:rsid w:val="008F4B1F"/>
    <w:rsid w:val="00912681"/>
    <w:rsid w:val="009264F1"/>
    <w:rsid w:val="009D7ECD"/>
    <w:rsid w:val="009E20D1"/>
    <w:rsid w:val="00A14342"/>
    <w:rsid w:val="00A60831"/>
    <w:rsid w:val="00A960B3"/>
    <w:rsid w:val="00B26FCE"/>
    <w:rsid w:val="00BE261C"/>
    <w:rsid w:val="00C63C33"/>
    <w:rsid w:val="00C912C9"/>
    <w:rsid w:val="00FB6577"/>
    <w:rsid w:val="02D603EE"/>
    <w:rsid w:val="111C0964"/>
    <w:rsid w:val="18A17A6F"/>
    <w:rsid w:val="1F114D50"/>
    <w:rsid w:val="294B31E5"/>
    <w:rsid w:val="2F372EE8"/>
    <w:rsid w:val="35D20537"/>
    <w:rsid w:val="3E8166DB"/>
    <w:rsid w:val="460F6B27"/>
    <w:rsid w:val="464333AA"/>
    <w:rsid w:val="47F2775E"/>
    <w:rsid w:val="509F11A1"/>
    <w:rsid w:val="50C64592"/>
    <w:rsid w:val="5B477993"/>
    <w:rsid w:val="72F13F2E"/>
    <w:rsid w:val="7E3D1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宋体" w:cs="Times New Roman"/>
      <w:kern w:val="0"/>
      <w:sz w:val="24"/>
      <w:szCs w:val="24"/>
      <w:lang w:val="en-US" w:eastAsia="en-US" w:bidi="ar-SA"/>
      <w14:ligatures w14:val="none"/>
    </w:rPr>
  </w:style>
  <w:style w:type="paragraph" w:styleId="2">
    <w:name w:val="heading 1"/>
    <w:basedOn w:val="1"/>
    <w:next w:val="1"/>
    <w:link w:val="17"/>
    <w:qFormat/>
    <w:uiPriority w:val="9"/>
    <w:pPr>
      <w:keepNext/>
      <w:keepLines/>
      <w:widowControl w:val="0"/>
      <w:spacing w:before="480" w:after="80" w:line="278" w:lineRule="auto"/>
      <w:outlineLvl w:val="0"/>
    </w:pPr>
    <w:rPr>
      <w:rFonts w:asciiTheme="majorHAnsi" w:hAnsiTheme="majorHAnsi" w:eastAsiaTheme="majorEastAsia" w:cstheme="majorBidi"/>
      <w:color w:val="104862" w:themeColor="accent1" w:themeShade="BF"/>
      <w:kern w:val="2"/>
      <w:sz w:val="48"/>
      <w:szCs w:val="48"/>
      <w:lang w:eastAsia="zh-CN"/>
      <w14:ligatures w14:val="standardContextual"/>
    </w:rPr>
  </w:style>
  <w:style w:type="paragraph" w:styleId="3">
    <w:name w:val="heading 2"/>
    <w:basedOn w:val="1"/>
    <w:next w:val="1"/>
    <w:link w:val="18"/>
    <w:semiHidden/>
    <w:unhideWhenUsed/>
    <w:qFormat/>
    <w:uiPriority w:val="9"/>
    <w:pPr>
      <w:keepNext/>
      <w:keepLines/>
      <w:widowControl w:val="0"/>
      <w:spacing w:before="160" w:after="80" w:line="278" w:lineRule="auto"/>
      <w:outlineLvl w:val="1"/>
    </w:pPr>
    <w:rPr>
      <w:rFonts w:asciiTheme="majorHAnsi" w:hAnsiTheme="majorHAnsi" w:eastAsiaTheme="majorEastAsia" w:cstheme="majorBidi"/>
      <w:color w:val="104862" w:themeColor="accent1" w:themeShade="BF"/>
      <w:kern w:val="2"/>
      <w:sz w:val="40"/>
      <w:szCs w:val="40"/>
      <w:lang w:eastAsia="zh-CN"/>
      <w14:ligatures w14:val="standardContextual"/>
    </w:rPr>
  </w:style>
  <w:style w:type="paragraph" w:styleId="4">
    <w:name w:val="heading 3"/>
    <w:basedOn w:val="1"/>
    <w:next w:val="1"/>
    <w:link w:val="19"/>
    <w:semiHidden/>
    <w:unhideWhenUsed/>
    <w:qFormat/>
    <w:uiPriority w:val="9"/>
    <w:pPr>
      <w:keepNext/>
      <w:keepLines/>
      <w:widowControl w:val="0"/>
      <w:spacing w:before="160" w:after="80" w:line="278" w:lineRule="auto"/>
      <w:outlineLvl w:val="2"/>
    </w:pPr>
    <w:rPr>
      <w:rFonts w:asciiTheme="majorHAnsi" w:hAnsiTheme="majorHAnsi" w:eastAsiaTheme="majorEastAsia" w:cstheme="majorBidi"/>
      <w:color w:val="104862" w:themeColor="accent1" w:themeShade="BF"/>
      <w:kern w:val="2"/>
      <w:sz w:val="32"/>
      <w:szCs w:val="32"/>
      <w:lang w:eastAsia="zh-CN"/>
      <w14:ligatures w14:val="standardContextual"/>
    </w:rPr>
  </w:style>
  <w:style w:type="paragraph" w:styleId="5">
    <w:name w:val="heading 4"/>
    <w:basedOn w:val="1"/>
    <w:next w:val="1"/>
    <w:link w:val="20"/>
    <w:semiHidden/>
    <w:unhideWhenUsed/>
    <w:qFormat/>
    <w:uiPriority w:val="9"/>
    <w:pPr>
      <w:keepNext/>
      <w:keepLines/>
      <w:widowControl w:val="0"/>
      <w:spacing w:before="80" w:after="40" w:line="278" w:lineRule="auto"/>
      <w:outlineLvl w:val="3"/>
    </w:pPr>
    <w:rPr>
      <w:rFonts w:asciiTheme="minorHAnsi" w:hAnsiTheme="minorHAnsi" w:eastAsiaTheme="minorEastAsia" w:cstheme="majorBidi"/>
      <w:color w:val="104862" w:themeColor="accent1" w:themeShade="BF"/>
      <w:kern w:val="2"/>
      <w:sz w:val="28"/>
      <w:szCs w:val="28"/>
      <w:lang w:eastAsia="zh-CN"/>
      <w14:ligatures w14:val="standardContextual"/>
    </w:rPr>
  </w:style>
  <w:style w:type="paragraph" w:styleId="6">
    <w:name w:val="heading 5"/>
    <w:basedOn w:val="1"/>
    <w:next w:val="1"/>
    <w:link w:val="21"/>
    <w:semiHidden/>
    <w:unhideWhenUsed/>
    <w:qFormat/>
    <w:uiPriority w:val="9"/>
    <w:pPr>
      <w:keepNext/>
      <w:keepLines/>
      <w:widowControl w:val="0"/>
      <w:spacing w:before="80" w:after="40" w:line="278" w:lineRule="auto"/>
      <w:outlineLvl w:val="4"/>
    </w:pPr>
    <w:rPr>
      <w:rFonts w:asciiTheme="minorHAnsi" w:hAnsiTheme="minorHAnsi" w:eastAsiaTheme="minorEastAsia" w:cstheme="majorBidi"/>
      <w:color w:val="104862" w:themeColor="accent1" w:themeShade="BF"/>
      <w:kern w:val="2"/>
      <w:lang w:eastAsia="zh-CN"/>
      <w14:ligatures w14:val="standardContextual"/>
    </w:rPr>
  </w:style>
  <w:style w:type="paragraph" w:styleId="7">
    <w:name w:val="heading 6"/>
    <w:basedOn w:val="1"/>
    <w:next w:val="1"/>
    <w:link w:val="22"/>
    <w:semiHidden/>
    <w:unhideWhenUsed/>
    <w:qFormat/>
    <w:uiPriority w:val="9"/>
    <w:pPr>
      <w:keepNext/>
      <w:keepLines/>
      <w:widowControl w:val="0"/>
      <w:spacing w:before="40" w:line="278" w:lineRule="auto"/>
      <w:outlineLvl w:val="5"/>
    </w:pPr>
    <w:rPr>
      <w:rFonts w:asciiTheme="minorHAnsi" w:hAnsiTheme="minorHAnsi" w:eastAsiaTheme="minorEastAsia" w:cstheme="majorBidi"/>
      <w:b/>
      <w:bCs/>
      <w:color w:val="104862" w:themeColor="accent1" w:themeShade="BF"/>
      <w:kern w:val="2"/>
      <w:sz w:val="22"/>
      <w:lang w:eastAsia="zh-CN"/>
      <w14:ligatures w14:val="standardContextual"/>
    </w:rPr>
  </w:style>
  <w:style w:type="paragraph" w:styleId="8">
    <w:name w:val="heading 7"/>
    <w:basedOn w:val="1"/>
    <w:next w:val="1"/>
    <w:link w:val="23"/>
    <w:semiHidden/>
    <w:unhideWhenUsed/>
    <w:qFormat/>
    <w:uiPriority w:val="9"/>
    <w:pPr>
      <w:keepNext/>
      <w:keepLines/>
      <w:widowControl w:val="0"/>
      <w:spacing w:before="40" w:line="278" w:lineRule="auto"/>
      <w:outlineLvl w:val="6"/>
    </w:pPr>
    <w:rPr>
      <w:rFonts w:asciiTheme="minorHAnsi" w:hAnsiTheme="minorHAnsi" w:eastAsiaTheme="minorEastAsia" w:cstheme="majorBidi"/>
      <w:b/>
      <w:bCs/>
      <w:color w:val="595959" w:themeColor="text1" w:themeTint="A6"/>
      <w:kern w:val="2"/>
      <w:sz w:val="22"/>
      <w:lang w:eastAsia="zh-CN"/>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widowControl w:val="0"/>
      <w:spacing w:line="278" w:lineRule="auto"/>
      <w:outlineLvl w:val="7"/>
    </w:pPr>
    <w:rPr>
      <w:rFonts w:asciiTheme="minorHAnsi" w:hAnsiTheme="minorHAnsi" w:eastAsiaTheme="minorEastAsia" w:cstheme="majorBidi"/>
      <w:color w:val="595959" w:themeColor="text1" w:themeTint="A6"/>
      <w:kern w:val="2"/>
      <w:sz w:val="22"/>
      <w:lang w:eastAsia="zh-CN"/>
      <w14:textFill>
        <w14:solidFill>
          <w14:schemeClr w14:val="tx1">
            <w14:lumMod w14:val="65000"/>
            <w14:lumOff w14:val="35000"/>
          </w14:schemeClr>
        </w14:solidFill>
      </w14:textFill>
      <w14:ligatures w14:val="standardContextual"/>
    </w:rPr>
  </w:style>
  <w:style w:type="paragraph" w:styleId="10">
    <w:name w:val="heading 9"/>
    <w:basedOn w:val="1"/>
    <w:next w:val="1"/>
    <w:link w:val="25"/>
    <w:semiHidden/>
    <w:unhideWhenUsed/>
    <w:qFormat/>
    <w:uiPriority w:val="9"/>
    <w:pPr>
      <w:keepNext/>
      <w:keepLines/>
      <w:widowControl w:val="0"/>
      <w:spacing w:line="278" w:lineRule="auto"/>
      <w:outlineLvl w:val="8"/>
    </w:pPr>
    <w:rPr>
      <w:rFonts w:asciiTheme="minorHAnsi" w:hAnsiTheme="minorHAnsi" w:eastAsiaTheme="majorEastAsia" w:cstheme="majorBidi"/>
      <w:color w:val="595959" w:themeColor="text1" w:themeTint="A6"/>
      <w:kern w:val="2"/>
      <w:sz w:val="22"/>
      <w:lang w:eastAsia="zh-CN"/>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widowControl w:val="0"/>
      <w:tabs>
        <w:tab w:val="center" w:pos="4153"/>
        <w:tab w:val="right" w:pos="8306"/>
      </w:tabs>
      <w:snapToGrid w:val="0"/>
      <w:spacing w:after="160"/>
    </w:pPr>
    <w:rPr>
      <w:rFonts w:asciiTheme="minorHAnsi" w:hAnsiTheme="minorHAnsi" w:eastAsiaTheme="minorEastAsia" w:cstheme="minorBidi"/>
      <w:kern w:val="2"/>
      <w:sz w:val="18"/>
      <w:szCs w:val="18"/>
      <w:lang w:eastAsia="zh-CN"/>
      <w14:ligatures w14:val="standardContextual"/>
    </w:rPr>
  </w:style>
  <w:style w:type="paragraph" w:styleId="12">
    <w:name w:val="header"/>
    <w:basedOn w:val="1"/>
    <w:link w:val="35"/>
    <w:unhideWhenUsed/>
    <w:qFormat/>
    <w:uiPriority w:val="99"/>
    <w:pPr>
      <w:widowControl w:val="0"/>
      <w:tabs>
        <w:tab w:val="center" w:pos="4153"/>
        <w:tab w:val="right" w:pos="8306"/>
      </w:tabs>
      <w:snapToGrid w:val="0"/>
      <w:spacing w:after="160"/>
      <w:jc w:val="center"/>
    </w:pPr>
    <w:rPr>
      <w:rFonts w:asciiTheme="minorHAnsi" w:hAnsiTheme="minorHAnsi" w:eastAsiaTheme="minorEastAsia" w:cstheme="minorBidi"/>
      <w:kern w:val="2"/>
      <w:sz w:val="18"/>
      <w:szCs w:val="18"/>
      <w:lang w:eastAsia="zh-CN"/>
      <w14:ligatures w14:val="standardContextual"/>
    </w:rPr>
  </w:style>
  <w:style w:type="paragraph" w:styleId="13">
    <w:name w:val="Subtitle"/>
    <w:basedOn w:val="1"/>
    <w:next w:val="1"/>
    <w:link w:val="27"/>
    <w:qFormat/>
    <w:uiPriority w:val="11"/>
    <w:pPr>
      <w:widowControl w:val="0"/>
      <w:spacing w:after="160" w:line="278" w:lineRule="auto"/>
      <w:jc w:val="center"/>
    </w:pPr>
    <w:rPr>
      <w:rFonts w:asciiTheme="majorHAnsi" w:hAnsiTheme="majorHAnsi" w:eastAsiaTheme="majorEastAsia" w:cstheme="majorBidi"/>
      <w:color w:val="595959" w:themeColor="text1" w:themeTint="A6"/>
      <w:spacing w:val="15"/>
      <w:kern w:val="2"/>
      <w:sz w:val="28"/>
      <w:szCs w:val="28"/>
      <w:lang w:eastAsia="zh-CN"/>
      <w14:textFill>
        <w14:solidFill>
          <w14:schemeClr w14:val="tx1">
            <w14:lumMod w14:val="65000"/>
            <w14:lumOff w14:val="35000"/>
          </w14:schemeClr>
        </w14:solidFill>
      </w14:textFill>
      <w14:ligatures w14:val="standardContextual"/>
    </w:rPr>
  </w:style>
  <w:style w:type="paragraph" w:styleId="14">
    <w:name w:val="Title"/>
    <w:basedOn w:val="1"/>
    <w:next w:val="1"/>
    <w:link w:val="26"/>
    <w:qFormat/>
    <w:uiPriority w:val="10"/>
    <w:pPr>
      <w:widowControl w:val="0"/>
      <w:spacing w:after="80"/>
      <w:contextualSpacing/>
      <w:jc w:val="center"/>
    </w:pPr>
    <w:rPr>
      <w:rFonts w:asciiTheme="majorHAnsi" w:hAnsiTheme="majorHAnsi" w:eastAsiaTheme="majorEastAsia" w:cstheme="majorBidi"/>
      <w:spacing w:val="-10"/>
      <w:kern w:val="28"/>
      <w:sz w:val="56"/>
      <w:szCs w:val="56"/>
      <w:lang w:eastAsia="zh-CN"/>
      <w14:ligatures w14:val="standardContextual"/>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widowControl w:val="0"/>
      <w:spacing w:before="160" w:after="160" w:line="278" w:lineRule="auto"/>
      <w:jc w:val="center"/>
    </w:pPr>
    <w:rPr>
      <w:rFonts w:asciiTheme="minorHAnsi" w:hAnsiTheme="minorHAnsi" w:eastAsiaTheme="minorEastAsia" w:cstheme="minorBidi"/>
      <w:i/>
      <w:iCs/>
      <w:color w:val="404040" w:themeColor="text1" w:themeTint="BF"/>
      <w:kern w:val="2"/>
      <w:sz w:val="22"/>
      <w:lang w:eastAsia="zh-CN"/>
      <w14:textFill>
        <w14:solidFill>
          <w14:schemeClr w14:val="tx1">
            <w14:lumMod w14:val="75000"/>
            <w14:lumOff w14:val="25000"/>
          </w14:schemeClr>
        </w14:solidFill>
      </w14:textFill>
      <w14:ligatures w14:val="standardContextua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widowControl w:val="0"/>
      <w:spacing w:after="160" w:line="278" w:lineRule="auto"/>
      <w:ind w:left="720"/>
      <w:contextualSpacing/>
    </w:pPr>
    <w:rPr>
      <w:rFonts w:asciiTheme="minorHAnsi" w:hAnsiTheme="minorHAnsi" w:eastAsiaTheme="minorEastAsia" w:cstheme="minorBidi"/>
      <w:kern w:val="2"/>
      <w:sz w:val="22"/>
      <w:lang w:eastAsia="zh-CN"/>
      <w14:ligatures w14:val="standardContextual"/>
    </w:r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widowControl w:val="0"/>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EastAsia" w:cstheme="minorBidi"/>
      <w:i/>
      <w:iCs/>
      <w:color w:val="104862" w:themeColor="accent1" w:themeShade="BF"/>
      <w:kern w:val="2"/>
      <w:sz w:val="22"/>
      <w:lang w:eastAsia="zh-CN"/>
      <w14:ligatures w14:val="standardContextual"/>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480</Words>
  <Characters>2736</Characters>
  <Lines>22</Lines>
  <Paragraphs>6</Paragraphs>
  <TotalTime>6</TotalTime>
  <ScaleCrop>false</ScaleCrop>
  <LinksUpToDate>false</LinksUpToDate>
  <CharactersWithSpaces>3210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2024-04-25T02:38:00Z</dcterms:created>
  <dc:creator>杨森</dc:creator>
  <cp:lastModifiedBy> </cp:lastModifiedBy>
  <cp:lastPrinted>2024-08-15T08:27:00Z</cp:lastPrinted>
  <dcterms:modified xsi:type="dcterms:W3CDTF">2024-08-29T06:46:20Z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E754FBA40F3C4ADE870F0CF98D53D146</vt:lpwstr>
  </property>
  <property fmtid="{D5CDD505-2E9C-101B-9397-08002B2CF9AE}" pid="4" name="_KSOProductBuildMID">
    <vt:lpwstr>SKWFK6BV79TQ059GRARNQLJ87NN0O7VR9U0XBJDXXFG8TEWT68BJYC0CFY9TP88RAUMXLOLJZHKD8PNJRUFT0F8O89C0WIWBBSOORHB34DF081E01B89F197E3F5C27541022867</vt:lpwstr>
  </property>
  <property fmtid="{D5CDD505-2E9C-101B-9397-08002B2CF9AE}" pid="5" name="_KSOProductBuildSID">
    <vt:lpwstr>EAA491CC82C05AF86DD5B560121C036F</vt:lpwstr>
  </property>
</Properties>
</file>